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979B" w14:textId="77777777" w:rsidR="00026B13" w:rsidRPr="00206EC6" w:rsidRDefault="00026B13" w:rsidP="00670C79">
      <w:pPr>
        <w:pStyle w:val="Title"/>
        <w:rPr>
          <w:sz w:val="24"/>
          <w:szCs w:val="24"/>
        </w:rPr>
      </w:pPr>
    </w:p>
    <w:p w14:paraId="32A50DD0" w14:textId="77777777" w:rsidR="0025682E" w:rsidRPr="00206EC6" w:rsidRDefault="0025682E" w:rsidP="00670C79">
      <w:pPr>
        <w:pStyle w:val="Title"/>
        <w:rPr>
          <w:sz w:val="24"/>
          <w:szCs w:val="24"/>
        </w:rPr>
      </w:pPr>
    </w:p>
    <w:p w14:paraId="121A8C4B" w14:textId="77777777" w:rsidR="00EA4C5B" w:rsidRDefault="00EA4C5B" w:rsidP="00611644">
      <w:pPr>
        <w:pStyle w:val="Title"/>
        <w:rPr>
          <w:sz w:val="24"/>
          <w:szCs w:val="24"/>
        </w:rPr>
      </w:pPr>
    </w:p>
    <w:p w14:paraId="1F84E00E" w14:textId="77777777" w:rsidR="00EA4C5B" w:rsidRDefault="00EA4C5B" w:rsidP="00611644">
      <w:pPr>
        <w:pStyle w:val="Title"/>
        <w:rPr>
          <w:sz w:val="24"/>
          <w:szCs w:val="24"/>
        </w:rPr>
      </w:pPr>
    </w:p>
    <w:p w14:paraId="2BA52A8F" w14:textId="2B743D98" w:rsidR="0025682E" w:rsidRPr="00206EC6" w:rsidRDefault="00670C79" w:rsidP="00611644">
      <w:pPr>
        <w:pStyle w:val="Title"/>
        <w:rPr>
          <w:sz w:val="24"/>
          <w:szCs w:val="24"/>
        </w:rPr>
      </w:pPr>
      <w:r w:rsidRPr="00206EC6">
        <w:rPr>
          <w:sz w:val="24"/>
          <w:szCs w:val="24"/>
        </w:rPr>
        <w:t>NOTĂ DE  FUNDAMENTARE</w:t>
      </w:r>
      <w:r w:rsidR="00662E0D" w:rsidRPr="00206EC6">
        <w:rPr>
          <w:sz w:val="24"/>
          <w:szCs w:val="24"/>
        </w:rPr>
        <w:t xml:space="preserve"> </w:t>
      </w:r>
    </w:p>
    <w:p w14:paraId="16E1A72E" w14:textId="77777777" w:rsidR="0025682E" w:rsidRPr="00206EC6"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206EC6" w:rsidRPr="00206EC6" w14:paraId="117C71DD" w14:textId="77777777" w:rsidTr="006A5A1B">
        <w:tc>
          <w:tcPr>
            <w:tcW w:w="10206" w:type="dxa"/>
          </w:tcPr>
          <w:p w14:paraId="12BCBC7C" w14:textId="10FA58DA" w:rsidR="00611644" w:rsidRPr="00206EC6" w:rsidRDefault="00611644" w:rsidP="00F8335E">
            <w:pPr>
              <w:widowControl w:val="0"/>
              <w:spacing w:line="276" w:lineRule="auto"/>
              <w:jc w:val="both"/>
              <w:rPr>
                <w:lang w:eastAsia="ro-RO"/>
              </w:rPr>
            </w:pPr>
          </w:p>
          <w:p w14:paraId="5A2835A5" w14:textId="5AD1BA92" w:rsidR="00611644" w:rsidRPr="00206EC6" w:rsidRDefault="00611644" w:rsidP="0066428B">
            <w:pPr>
              <w:pStyle w:val="Heading6"/>
              <w:spacing w:before="0" w:after="0" w:line="240" w:lineRule="auto"/>
              <w:jc w:val="center"/>
              <w:rPr>
                <w:sz w:val="24"/>
              </w:rPr>
            </w:pPr>
            <w:r w:rsidRPr="00206EC6">
              <w:rPr>
                <w:sz w:val="24"/>
              </w:rPr>
              <w:t>Secţiunea 1</w:t>
            </w:r>
          </w:p>
          <w:p w14:paraId="19B440B1" w14:textId="63C18D1E" w:rsidR="00611644" w:rsidRPr="00206EC6" w:rsidRDefault="00611644" w:rsidP="0066428B">
            <w:pPr>
              <w:pStyle w:val="Heading6"/>
              <w:spacing w:before="0" w:after="0" w:line="240" w:lineRule="auto"/>
              <w:jc w:val="center"/>
              <w:rPr>
                <w:sz w:val="24"/>
              </w:rPr>
            </w:pPr>
            <w:r w:rsidRPr="00206EC6">
              <w:rPr>
                <w:sz w:val="24"/>
              </w:rPr>
              <w:t>Titlul proiectului de act normativ</w:t>
            </w:r>
          </w:p>
          <w:p w14:paraId="134F9650" w14:textId="77777777" w:rsidR="0066428B" w:rsidRPr="00206EC6" w:rsidRDefault="0066428B" w:rsidP="0066428B"/>
          <w:p w14:paraId="4D431DAD" w14:textId="42CF85AF" w:rsidR="00E21831" w:rsidRPr="00E21831" w:rsidRDefault="00E21831" w:rsidP="00E21831">
            <w:pPr>
              <w:widowControl w:val="0"/>
              <w:spacing w:line="276" w:lineRule="auto"/>
              <w:jc w:val="both"/>
              <w:rPr>
                <w:b/>
                <w:lang w:eastAsia="ro-RO"/>
              </w:rPr>
            </w:pPr>
            <w:r>
              <w:rPr>
                <w:b/>
                <w:lang w:eastAsia="ro-RO"/>
              </w:rPr>
              <w:t>O</w:t>
            </w:r>
            <w:r w:rsidRPr="00E21831">
              <w:rPr>
                <w:b/>
                <w:lang w:eastAsia="ro-RO"/>
              </w:rPr>
              <w:t>rdonanță de urgență</w:t>
            </w:r>
            <w:r>
              <w:rPr>
                <w:b/>
                <w:lang w:eastAsia="ro-RO"/>
              </w:rPr>
              <w:t xml:space="preserve"> </w:t>
            </w:r>
            <w:r w:rsidRPr="00E21831">
              <w:rPr>
                <w:b/>
                <w:lang w:eastAsia="ro-RO"/>
              </w:rPr>
              <w:t xml:space="preserve">pentru completarea alin. (2) al art. 1 din Legea serviciilor comunitare de utilităţi publice nr. 51/2006, precum și pentru aprobarea unor măsuri privind proiectele </w:t>
            </w:r>
            <w:r w:rsidR="00555A11">
              <w:rPr>
                <w:b/>
                <w:lang w:eastAsia="ro-RO"/>
              </w:rPr>
              <w:t>de</w:t>
            </w:r>
            <w:r w:rsidRPr="00E21831">
              <w:rPr>
                <w:b/>
                <w:lang w:eastAsia="ro-RO"/>
              </w:rPr>
              <w:t xml:space="preserve"> </w:t>
            </w:r>
            <w:r w:rsidR="005A0464">
              <w:rPr>
                <w:b/>
                <w:lang w:eastAsia="ro-RO"/>
              </w:rPr>
              <w:t xml:space="preserve">mediu </w:t>
            </w:r>
            <w:r w:rsidRPr="00E21831">
              <w:rPr>
                <w:b/>
                <w:lang w:eastAsia="ro-RO"/>
              </w:rPr>
              <w:t>cu finanțare din fonduri externe nerambursabile și pentru reglementarea serviciului public inteligent alternativ pentru procesarea apelor uzate menajere</w:t>
            </w:r>
          </w:p>
          <w:p w14:paraId="338F09EC" w14:textId="36F02329" w:rsidR="00670C79" w:rsidRPr="00206EC6" w:rsidRDefault="00670C79" w:rsidP="00D777EE">
            <w:pPr>
              <w:widowControl w:val="0"/>
              <w:spacing w:line="276" w:lineRule="auto"/>
              <w:jc w:val="both"/>
              <w:rPr>
                <w:b/>
                <w:lang w:eastAsia="ro-RO"/>
              </w:rPr>
            </w:pPr>
          </w:p>
        </w:tc>
      </w:tr>
    </w:tbl>
    <w:p w14:paraId="6E28D791" w14:textId="77777777" w:rsidR="00670C79" w:rsidRPr="00206EC6" w:rsidRDefault="00670C79" w:rsidP="00670C79">
      <w:pPr>
        <w:rPr>
          <w:lang w:eastAsia="ro-RO"/>
        </w:rPr>
      </w:pPr>
      <w:r w:rsidRPr="00206EC6">
        <w:rPr>
          <w:lang w:eastAsia="ro-RO"/>
        </w:rPr>
        <w:t xml:space="preserve"> </w:t>
      </w:r>
    </w:p>
    <w:p w14:paraId="23181ACA" w14:textId="1E0F5209" w:rsidR="00CB78C4" w:rsidRPr="00206EC6" w:rsidRDefault="00670C79" w:rsidP="00670C79">
      <w:pPr>
        <w:rPr>
          <w:lang w:eastAsia="ro-RO"/>
        </w:rPr>
      </w:pPr>
      <w:r w:rsidRPr="00206EC6">
        <w:rPr>
          <w:lang w:eastAsia="ro-RO"/>
        </w:rPr>
        <w:t xml:space="preserve">   Secţiunea a 2-a  Motivul emiterii actului normativ</w:t>
      </w:r>
      <w:r w:rsidR="0066428B" w:rsidRPr="00206EC6">
        <w:rPr>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6440"/>
      </w:tblGrid>
      <w:tr w:rsidR="00206EC6" w:rsidRPr="00206EC6" w14:paraId="47D7FD1D" w14:textId="77777777" w:rsidTr="0025682E">
        <w:tc>
          <w:tcPr>
            <w:tcW w:w="3757" w:type="dxa"/>
          </w:tcPr>
          <w:p w14:paraId="6D2299AF" w14:textId="77777777" w:rsidR="00670C79" w:rsidRPr="00206EC6" w:rsidRDefault="00670C79" w:rsidP="006A5A1B">
            <w:pPr>
              <w:pStyle w:val="BodyText2"/>
              <w:rPr>
                <w:sz w:val="24"/>
                <w:lang w:eastAsia="ro-RO"/>
              </w:rPr>
            </w:pPr>
          </w:p>
          <w:p w14:paraId="636EB141" w14:textId="77777777" w:rsidR="00670C79" w:rsidRPr="00206EC6" w:rsidRDefault="00670C79" w:rsidP="00085904">
            <w:pPr>
              <w:pStyle w:val="BodyText2"/>
              <w:rPr>
                <w:sz w:val="24"/>
                <w:lang w:eastAsia="ro-RO"/>
              </w:rPr>
            </w:pPr>
            <w:r w:rsidRPr="00206EC6">
              <w:rPr>
                <w:sz w:val="24"/>
                <w:lang w:eastAsia="ro-RO"/>
              </w:rPr>
              <w:t>1.Descrierea situaţiei actuale</w:t>
            </w:r>
          </w:p>
        </w:tc>
        <w:tc>
          <w:tcPr>
            <w:tcW w:w="6440" w:type="dxa"/>
          </w:tcPr>
          <w:p w14:paraId="497417D1" w14:textId="7B5F6FD8" w:rsidR="00E975A8" w:rsidRDefault="000369CD" w:rsidP="00E975A8">
            <w:pPr>
              <w:jc w:val="both"/>
            </w:pPr>
            <w:r>
              <w:t>Î</w:t>
            </w:r>
            <w:r w:rsidRPr="000369CD">
              <w:t xml:space="preserve">n prezent </w:t>
            </w:r>
            <w:r>
              <w:t xml:space="preserve">în România </w:t>
            </w:r>
            <w:r w:rsidRPr="000369CD">
              <w:t>exist</w:t>
            </w:r>
            <w:r>
              <w:t>ă</w:t>
            </w:r>
            <w:r w:rsidRPr="000369CD">
              <w:t xml:space="preserve"> un mare</w:t>
            </w:r>
            <w:r w:rsidR="009D756F">
              <w:t xml:space="preserve"> deficit de acces la apa curentă</w:t>
            </w:r>
            <w:r w:rsidRPr="000369CD">
              <w:t>, aproximativ 4,5 milioane români neavând acces la ap</w:t>
            </w:r>
            <w:r w:rsidR="009D756F">
              <w:t>ă</w:t>
            </w:r>
            <w:r w:rsidRPr="000369CD">
              <w:t xml:space="preserve"> în gospodăriile lor. Dintre aceștia, 2,5 milioane persoane se alimentează cu ap</w:t>
            </w:r>
            <w:r w:rsidR="009D756F">
              <w:t>ă</w:t>
            </w:r>
            <w:r w:rsidRPr="000369CD">
              <w:t xml:space="preserve"> în regim propriu, din surse nesigure, cu ap</w:t>
            </w:r>
            <w:r w:rsidR="009D756F">
              <w:t>ă</w:t>
            </w:r>
            <w:r w:rsidRPr="000369CD">
              <w:t xml:space="preserve"> nepotabi</w:t>
            </w:r>
            <w:r w:rsidR="009D756F">
              <w:t>lă</w:t>
            </w:r>
            <w:r>
              <w:t>.</w:t>
            </w:r>
          </w:p>
          <w:p w14:paraId="4B77C4BE" w14:textId="77777777" w:rsidR="0093137F" w:rsidRDefault="0093137F" w:rsidP="0093137F">
            <w:pPr>
              <w:jc w:val="both"/>
            </w:pPr>
            <w:r>
              <w:t>Conform datelor INS, județele cu cel mai ridicat grad de conectare la sistemul de canalizare sunt Municipiul București (83%), Brașov (70%) și Cluj (67%); de cealaltă parte se află județele Vaslui (24%), Dâmbovița (24%) și Teleorman (22%), față de media națională de 41%. În general, centrul și vestul țării, precum și Dobrogea, prezintă valori mai ridicate, iar nord-estul și sudul, valori mai scăzute.</w:t>
            </w:r>
          </w:p>
          <w:p w14:paraId="4CC388E3" w14:textId="77777777" w:rsidR="0093137F" w:rsidRDefault="0093137F" w:rsidP="0093137F">
            <w:pPr>
              <w:jc w:val="both"/>
            </w:pPr>
            <w:r>
              <w:t>Raportul Național privind Starea Mediului în anul 2016 arată că evoluţia gradului de racordare al populaţiei la sistemele de colectare şi epurare a apelor uzate în funcție de tipul procesului de epurare aplicat indică o creștere constantă a numărului populației care beneficiază de servicii de colectare și epurare a apelor uzate, consecință a extinderii și construirii infrastructurii aferente. Se observă că în ultima perioadă a crescut îndeosebi proporția de sisteme de colectare cu epurare terțiară.</w:t>
            </w:r>
          </w:p>
          <w:p w14:paraId="04673A78" w14:textId="77777777" w:rsidR="0093137F" w:rsidRDefault="0093137F" w:rsidP="0093137F">
            <w:pPr>
              <w:jc w:val="both"/>
            </w:pPr>
            <w:r>
              <w:t xml:space="preserve">Infrastructura de alimentare cu apă și cea de epurare a apelor uzate este deficitară. Conectarea la rețeaua publică de alimentare cu apă este incompletă, numai aproximativ 57 % din populație fiind conectată, aceasta reprezentând cea mai scăzută rată din UE. Infrastructura de alimentare cu apă este în curs de modernizare prin intermediul unor proiecte regionale, cofinanțate de UE, în valoare totală de 2,5 miliarde EUR. Având în vedere nivelul actual scăzut al respectării cerințelor privind colectarea și tratarea, investițiile în acest sector vor rămâne o </w:t>
            </w:r>
            <w:r>
              <w:lastRenderedPageBreak/>
              <w:t>prioritate pe termen mediu și lung (Raport de țară 2019).</w:t>
            </w:r>
          </w:p>
          <w:p w14:paraId="748EFB63" w14:textId="77777777" w:rsidR="0093137F" w:rsidRDefault="0093137F" w:rsidP="0093137F">
            <w:pPr>
              <w:jc w:val="both"/>
            </w:pPr>
            <w:r>
              <w:t>Conform ultimelor date INS (2018), 317 din 319 municipii și orașe dețin rețea de distribuție a apei, în timp ce 2248 comune (78,5% din numărul total) îndeplinesc acest indicator de echipare (în creștere constantă față de anii precedenți). În cazul sistemelor de canalizare, situația este deficitară în special pentru mediul rural (doar 990 comune reprezentând 34,6% din total au canalizare publică), alături de 315 municipii și orașe. Totuși, se constată o creștere a echipării teritoriului, față de anul 2015 un număr de 91 comune noi dețin rețea de distribuție a apei și 181 comune dețin rețea de canalizare.</w:t>
            </w:r>
          </w:p>
          <w:p w14:paraId="6F692A39" w14:textId="77777777" w:rsidR="0093137F" w:rsidRDefault="0093137F" w:rsidP="0093137F">
            <w:pPr>
              <w:jc w:val="both"/>
            </w:pPr>
            <w:r>
              <w:t>În anul 2018, un număr de 10.293.041 locuitori aveau locuinţele conectate la sistemele de canalizare, aceştia reprezentând 52,9% din populaţia rezidentă a României), cu 314.155 persoane mai mult decât în anul 2017. În ceea ce priveşte epurarea apelor uzate, populaţia conectată la sistemele de canalizare prevăzute cu staţii de epurare a fost de 10.035.288 persoane, reprezentând 51,5% din populaţia rezidentă a ţării, cu 325.211 persoane mai mult decât în anul 2017. În mediul urban s-au înregistrat 9.400.517 locuitori cu locuinţele conectate la sistemele de canalizare, reprezentând 89,7% din populaţia rezidentă urbană a României, iar în mediul rural un număr de 892.524 persoane au beneficiat de servicii de canalizare, reprezentând 9,9% din populaţia rezidentă rurală a României.</w:t>
            </w:r>
          </w:p>
          <w:p w14:paraId="174C8164" w14:textId="77777777" w:rsidR="0093137F" w:rsidRDefault="0093137F" w:rsidP="0093137F">
            <w:pPr>
              <w:jc w:val="both"/>
            </w:pPr>
            <w:r>
              <w:t>Conform raportului realizat de Administraţia Naţională “Apele Române”, în aglomerările umane mai mari de 2000 l.e., gradul de racordare la sistemul de colectare a apelor uzate a înregistrat o creştere de cca. 15% la sfârşitul anului 2018 față de anul 2007. În ceea ce privește gradul de conectare la staţiile de epurare urbane, acesta a crescut cu cca. 24% în perioada 2007- 2017.</w:t>
            </w:r>
          </w:p>
          <w:p w14:paraId="19E679F2" w14:textId="77777777" w:rsidR="0093137F" w:rsidRDefault="0093137F" w:rsidP="0093137F">
            <w:pPr>
              <w:jc w:val="both"/>
            </w:pPr>
            <w:r>
              <w:t xml:space="preserve">La sfârșitul anului 2017 existau fizic 1732 reţele de canalizare, din care 1052 reţele de canalizare funcţionale, restul de 680 fiind in diferite stadii de execuţie sau pentru care nu s-a realizat încă racordarea populației la infrastructura de apă uzată. </w:t>
            </w:r>
          </w:p>
          <w:p w14:paraId="40EA6D25" w14:textId="39E0EBF1" w:rsidR="0093137F" w:rsidRDefault="0093137F" w:rsidP="0093137F">
            <w:pPr>
              <w:jc w:val="both"/>
            </w:pPr>
            <w:r>
              <w:t>Cele mai ridicate grade de racordare la reţele de canalizare (peste 80%), respectiv Aglomerări umane (&gt;2.000 l.e.) sunt identificate in judeţele: Buzău, Caraș Severin, Cluj, Constanța, Hunedoara, Iași, Timiș și în aglomerarea Bucureşti, iar la polul opus (sub 30%) se află judeţul Giurgiu. Referitor la gradele de racordare la staţiile de epurare, situaţia este următoarea: în judeţele Buzău, Cluj, Constanța, Iași și Timiș s-au înregistrat valori de peste 80%. În ceea ce priveşte situaţia dotării cu staţii de epurare a apelor uzate, au fost inventariate 1055 staţii de epurare, din care 782 staţii de epurare pentru aglomerări mai mari de 2000 l.e.</w:t>
            </w:r>
          </w:p>
          <w:p w14:paraId="66F6BECE" w14:textId="07D262F1" w:rsidR="000369CD" w:rsidRDefault="0093137F" w:rsidP="006610B5">
            <w:pPr>
              <w:jc w:val="both"/>
            </w:pPr>
            <w:r w:rsidRPr="0093137F">
              <w:t xml:space="preserve">Dezvoltarea sistemelor de alimentare cu apă şi colectare şi tratare a apelor urbane reziduale reprezintă angajamente asumate în mod explicit prin Tratatul de aderare al României la Uniunea Europeană (Capitolul 9 – Mediu). Calitatea locuirii este foarte scăzută raportat la țările UE, cauza principală fiind </w:t>
            </w:r>
            <w:r w:rsidRPr="0093137F">
              <w:lastRenderedPageBreak/>
              <w:t>echiparea tehnico-edilitară precară cantitativ și calitativ, la nivel urban și rural.</w:t>
            </w:r>
          </w:p>
          <w:p w14:paraId="1C04F669" w14:textId="52DD8DF7" w:rsidR="004F4D2E" w:rsidRDefault="004F4D2E" w:rsidP="006610B5">
            <w:pPr>
              <w:jc w:val="both"/>
            </w:pPr>
            <w:r>
              <w:t xml:space="preserve">În prezent, prin Programul operațional Infrastructură Mare (POIM) se implementează un număr de 18 proiecte în sectorul de apă și apă uzată, ce vizează </w:t>
            </w:r>
            <w:r w:rsidRPr="004F4D2E">
              <w:t>conformare</w:t>
            </w:r>
            <w:r>
              <w:t>a</w:t>
            </w:r>
            <w:r w:rsidRPr="004F4D2E">
              <w:t xml:space="preserve"> </w:t>
            </w:r>
            <w:r>
              <w:t>î</w:t>
            </w:r>
            <w:r w:rsidRPr="004F4D2E">
              <w:t>n sectorul de ap</w:t>
            </w:r>
            <w:r>
              <w:t>ă</w:t>
            </w:r>
            <w:r w:rsidRPr="004F4D2E">
              <w:t xml:space="preserve"> uzat</w:t>
            </w:r>
            <w:r>
              <w:t>ă</w:t>
            </w:r>
            <w:r w:rsidRPr="004F4D2E">
              <w:t xml:space="preserve"> </w:t>
            </w:r>
            <w:r>
              <w:t>ș</w:t>
            </w:r>
            <w:r w:rsidRPr="004F4D2E">
              <w:t>i conectare</w:t>
            </w:r>
            <w:r>
              <w:t>a</w:t>
            </w:r>
            <w:r w:rsidRPr="004F4D2E">
              <w:t xml:space="preserve"> </w:t>
            </w:r>
            <w:r>
              <w:t>î</w:t>
            </w:r>
            <w:r w:rsidRPr="004F4D2E">
              <w:t>n sectorul de ap</w:t>
            </w:r>
            <w:r>
              <w:t>ă</w:t>
            </w:r>
            <w:r w:rsidRPr="004F4D2E">
              <w:t>.</w:t>
            </w:r>
          </w:p>
          <w:p w14:paraId="5FF59B29" w14:textId="77777777" w:rsidR="001358E8" w:rsidRDefault="001358E8" w:rsidP="001358E8">
            <w:pPr>
              <w:jc w:val="both"/>
            </w:pPr>
            <w:r>
              <w:t>Modificările în numărul și dimensiunea aglomerărilor, precum și evoluția pieței în construcții și a contextului economic, s-au reflectat în creșterea costurilor necesare pentru realizarea infrastructurii de apă uzată, respectiv a rețelelor de canalizare și stațiilor de epurare.</w:t>
            </w:r>
          </w:p>
          <w:p w14:paraId="6C4E5EAA" w14:textId="77777777" w:rsidR="001358E8" w:rsidRDefault="001358E8" w:rsidP="001358E8">
            <w:pPr>
              <w:jc w:val="both"/>
            </w:pPr>
            <w:r>
              <w:t>Astfel, costurile de investiții pentru conformare au crescut după cum urmează:</w:t>
            </w:r>
          </w:p>
          <w:p w14:paraId="159299BE" w14:textId="1EFF0CFC" w:rsidR="001358E8" w:rsidRDefault="001358E8" w:rsidP="001358E8">
            <w:pPr>
              <w:jc w:val="both"/>
            </w:pPr>
            <w:r>
              <w:t>- 9,5 miliarde Euro în anul 2004 (estimate în Planul de implementare al Directivei 91/271/CEE privind epurarea apelor uzate urbane);</w:t>
            </w:r>
          </w:p>
          <w:p w14:paraId="3420DCC6" w14:textId="1276A458" w:rsidR="001358E8" w:rsidRDefault="001358E8" w:rsidP="001358E8">
            <w:pPr>
              <w:jc w:val="both"/>
            </w:pPr>
            <w:r>
              <w:t>- 12,2 miliarde Euro nivelul anului 2009 (estimate în primul Plan de Național de Management al bazinelor/spațiilor hidrografice din România, aprobat prin HG nr. 80/2011);</w:t>
            </w:r>
          </w:p>
          <w:p w14:paraId="53C18F1A" w14:textId="6BC26E18" w:rsidR="004F4D2E" w:rsidRDefault="001358E8" w:rsidP="001358E8">
            <w:pPr>
              <w:jc w:val="both"/>
            </w:pPr>
            <w:r>
              <w:t>- 16 miliarde Euro în anul 2015 (estimate în Planul de Național de Management actualizat al bazinelor/spațiilor hidrografice din România, aprobat prin HG nr. 859/2016).</w:t>
            </w:r>
          </w:p>
          <w:p w14:paraId="7205098A" w14:textId="5DF4B464" w:rsidR="00995DC4" w:rsidRDefault="00995DC4" w:rsidP="001358E8">
            <w:pPr>
              <w:jc w:val="both"/>
            </w:pPr>
            <w:r>
              <w:t xml:space="preserve">În plus în cadrul proiectelor ce se implementează prin POIM o serie de aglomerări,  </w:t>
            </w:r>
            <w:r w:rsidRPr="00995DC4">
              <w:t xml:space="preserve">extinderi și reabilitări </w:t>
            </w:r>
            <w:r>
              <w:t xml:space="preserve">ale </w:t>
            </w:r>
            <w:r w:rsidRPr="00995DC4">
              <w:t>rețelelor de apă și apă uzată</w:t>
            </w:r>
            <w:r>
              <w:t xml:space="preserve"> nu au îndeplinit la momentul pregătirii și depunerilor proiectelor condițiile de eligibilitate, nefiind pe cale de consecință incluse în acestea spre a fi finanțate, cu consecința limitării accesului populației aferernte la serviciile esențiale presupuse de racordarea la sistemele de apă și apă uzată. </w:t>
            </w:r>
          </w:p>
          <w:p w14:paraId="611AD614" w14:textId="77777777" w:rsidR="00D777EE" w:rsidRDefault="00D777EE" w:rsidP="00D777EE">
            <w:pPr>
              <w:jc w:val="both"/>
            </w:pPr>
            <w:r>
              <w:t xml:space="preserve">Proiectele de infrastructură de alimentare cu apă și canalizare a localităților urbane și rurale au sursa de finanțare asigurată din fonduri externe nerambursabile respectiv în cadrul Programului Operațional Infrastructură Mare, în perioada de programare 2014-2020. În cadrul acestor proiecte de alimentare cu apă și canalizare este asigurată atât finanțarea pentru alimentarea cu apă a localităților cu un număr de peste 50 de locuitori cât și racordul la rețeaua de canalizare pentru aglomerările urbane cu un număr de peste 2.000 locuitori. Aglomerările urbane care se racordează la rețeaua de apă-canalizare trebuie să îndeplinească trei condiții și anume: valoarea investiției pe gospodărie să nu depășească 2.500 euro/consumator echivalent, localitățile din aglomerarea urbană să fie situate în proximitate și distanța medie între două racorduri să nu fie mai mare de 25 ml. </w:t>
            </w:r>
          </w:p>
          <w:p w14:paraId="5D93A856" w14:textId="1CAD42EE" w:rsidR="00D777EE" w:rsidRDefault="00D777EE" w:rsidP="00D777EE">
            <w:pPr>
              <w:jc w:val="both"/>
            </w:pPr>
            <w:r>
              <w:t xml:space="preserve">Condițiile de racordare a localităților rurale la rețeaua de canalizare a determinat ca o parte din aceste localități să rămână fără servicii de canalizare întrucât nu au îndeplinit condițiile de racordare prevăzute de regulile europene de accesare de fonduri externe nerambursabile. În aceste condiții nu s-a putut asigura o implementare unitară a proiectelor cu finanțare din fonduri externe nerambursabilă existând situații în care fie anumite sate </w:t>
            </w:r>
            <w:r>
              <w:lastRenderedPageBreak/>
              <w:t>din structura administrativ teritorială a unei comune nu au fost racordate la rețeaua de canalizare. La această situație s-au mai adăugat gospodăriile sau chiar străzi din interiorul localităților care nu sunt racordate la rețeaua de canalizare aspect care creează multiple probleme în asigurarea serviciilor de alimentare cu apă și canalizare în special în zona localităților rurale.</w:t>
            </w:r>
          </w:p>
          <w:p w14:paraId="3203DA46" w14:textId="3DED55C4" w:rsidR="00D777EE" w:rsidRDefault="00D777EE" w:rsidP="00D777EE">
            <w:pPr>
              <w:jc w:val="both"/>
            </w:pPr>
            <w:r>
              <w:t>Termenul de conformare al României la cerințele directivei de apă a fost anul 2018 iar la cerințele de epurare a apelor uzate pentru localități cu peste 10.000 locuitori echivalenți a fost de asemenea anul 2018. În aceste condiții România poate risca infringement pentru neconformarea la directivele europene în domeniu, respectiv pentru neasigurarea serviciilor de apă și canalizare destinate populației. În aceste condiții măsurile prevăzute de prezenta ordonanță de urgență sunt măsuri justificate atât sunt aspectul oportunității cât și sub aspectul urgenței.</w:t>
            </w:r>
          </w:p>
          <w:p w14:paraId="4CE5E629" w14:textId="5A7CA4F9" w:rsidR="00C10264" w:rsidRDefault="00C10264" w:rsidP="00C10264">
            <w:pPr>
              <w:jc w:val="both"/>
            </w:pPr>
            <w:r>
              <w:t xml:space="preserve">Prin </w:t>
            </w:r>
            <w:r w:rsidR="008D4E90">
              <w:t xml:space="preserve">H.G. nr. 394/2020 </w:t>
            </w:r>
            <w:r w:rsidR="008D4E90" w:rsidRPr="008D4E90">
              <w:t>privind declararea stării de alertă și măsurile care se aplică pe durata acesteia pentru prevenirea și combaterea efectelor pandemiei de COVID-19</w:t>
            </w:r>
            <w:r w:rsidR="008D4E90">
              <w:t xml:space="preserve">, a fost instituită  </w:t>
            </w:r>
            <w:r>
              <w:t xml:space="preserve">starea de </w:t>
            </w:r>
            <w:r w:rsidR="008D4E90">
              <w:t xml:space="preserve">alertă </w:t>
            </w:r>
            <w:r>
              <w:t>pentru o perioadă de 30 de zile</w:t>
            </w:r>
            <w:r w:rsidR="009D756F">
              <w:t xml:space="preserve">, acesata fiind ulterior </w:t>
            </w:r>
            <w:r w:rsidR="008D4E90">
              <w:t>prelungită succesiv</w:t>
            </w:r>
            <w:r>
              <w:t xml:space="preserve">. Starea de </w:t>
            </w:r>
            <w:r w:rsidR="008D4E90">
              <w:t xml:space="preserve">alertă </w:t>
            </w:r>
            <w:r>
              <w:t xml:space="preserve">a fost </w:t>
            </w:r>
            <w:r w:rsidR="008D4E90">
              <w:t xml:space="preserve">instituită </w:t>
            </w:r>
            <w:r>
              <w:t xml:space="preserve">în contextul evoluției situației epidemiologice internaționale determinată de răspândirea coronavirusului SARS-CoV-2 la nivelul a peste 150 de țări, </w:t>
            </w:r>
            <w:r w:rsidR="008D4E90">
              <w:t>ș</w:t>
            </w:r>
            <w:r>
              <w:t xml:space="preserve">i al declarării „Pandemiei“ de către Organizația Mondială a Sănătății, la data de 11.03.2020.  </w:t>
            </w:r>
          </w:p>
          <w:p w14:paraId="606BD681" w14:textId="77777777" w:rsidR="00AC487E" w:rsidRPr="0085504A" w:rsidRDefault="00C10264" w:rsidP="00C10264">
            <w:pPr>
              <w:jc w:val="both"/>
            </w:pPr>
            <w:r>
              <w:t xml:space="preserve">În acest context, în scopul limitării efectelor negative determinate de limitarea sau întreruperea activităților socioeconomice se impune adoptarea în regim de urgență a unor măsuri de susținere pentru categoriile de beneficiari cele mai expuse riscului, cum sunt operatorii regionali de apă, în vederea asigurării un flux suplimentar de numerar, necesar constituirii de stocuri de materii prime și echipamente aferente angajamentelor legale în curs de implementare, cât și a reducerii riscurilor legate de o serie de obligații legale cu termen redus de exigibilitate în contextul </w:t>
            </w:r>
            <w:r w:rsidRPr="0085504A">
              <w:t>necesității de concentrare a resurselor umane în vederea asigurării continuității serviciului de apă și canalizare.</w:t>
            </w:r>
          </w:p>
          <w:p w14:paraId="6B487AEB" w14:textId="678E6DF9" w:rsidR="00C85530" w:rsidRPr="0085504A" w:rsidRDefault="00AC487E" w:rsidP="00C85530">
            <w:pPr>
              <w:jc w:val="both"/>
            </w:pPr>
            <w:r w:rsidRPr="0085504A">
              <w:t>La nivelul municipiului București, pentru sectoarele componente a fost creată posdibilitatea de a accesa fonduri nerambursabile în vederea implementării unor proiecte care să vizeze realizarea unor sisteme de colectare separată și sortare a deșeurilor. În acest sens prin Decizia Comisiei Europene C(2020)4680 din data de 7 iulie 2020 a fost modificat Programul Operațional Infrastructură Mare introducându-se ca și categorie specifică de beneficiari sectoarele municipiului București, în calitate de membre ale unei asociaţii de dezvoltare intercomunitară.</w:t>
            </w:r>
            <w:r w:rsidR="00C47F72" w:rsidRPr="0085504A">
              <w:t xml:space="preserve"> </w:t>
            </w:r>
            <w:r w:rsidR="00C85530" w:rsidRPr="0085504A">
              <w:t xml:space="preserve">Asociația de </w:t>
            </w:r>
            <w:r w:rsidR="00C47F72" w:rsidRPr="0085504A">
              <w:t>d</w:t>
            </w:r>
            <w:r w:rsidR="00C85530" w:rsidRPr="0085504A">
              <w:t xml:space="preserve">ezvoltare </w:t>
            </w:r>
            <w:r w:rsidR="00C47F72" w:rsidRPr="0085504A">
              <w:t>interc</w:t>
            </w:r>
            <w:r w:rsidR="00C85530" w:rsidRPr="0085504A">
              <w:t xml:space="preserve">omunitară care va avea ca obiectiv gestionarea deșeurilor reziduale în București-Ilfov și tratarea bio-deșeurilor colectate separat în municipiul București reprezintă un mecanism agreat la nivel de program </w:t>
            </w:r>
            <w:r w:rsidR="00C85530" w:rsidRPr="0085504A">
              <w:lastRenderedPageBreak/>
              <w:t xml:space="preserve">operațional prin care atât Comisia Europeană, cât și Ministerul Fondurilor Europene se vor asigura că la nivelul municipiului București este dezvoltat un sistem de management intergrat a deșeurilor. Existenta unui sistem de management integrat al deseurilor in municipiul București a reprezentat o condiție esentiala încă de la prima aprobare a POIM în 2015 pentru finanțarea oricăror investiții în municipiul București. </w:t>
            </w:r>
            <w:r w:rsidR="00E3770B" w:rsidRPr="0085504A">
              <w:t>În acest moment prevederile Ordonanţ</w:t>
            </w:r>
            <w:r w:rsidR="00C47F72" w:rsidRPr="0085504A">
              <w:t>ei</w:t>
            </w:r>
            <w:r w:rsidR="00E3770B" w:rsidRPr="0085504A">
              <w:t xml:space="preserve"> de urgenţă a Guvernului nr. 57/2019 privind Codul administrativ, cu modificările şi completările ulterioare</w:t>
            </w:r>
            <w:r w:rsidR="00C47F72" w:rsidRPr="0085504A">
              <w:t>, permit exclusiv unităţilor administrativ-teritoriale s</w:t>
            </w:r>
            <w:r w:rsidR="00BF7325" w:rsidRPr="0085504A">
              <w:t>ă</w:t>
            </w:r>
            <w:r w:rsidR="00C47F72" w:rsidRPr="0085504A">
              <w:t xml:space="preserve"> se asocieze în cadrul unor asociaţii de dezvoltare intercomunitară.</w:t>
            </w:r>
            <w:r w:rsidR="00C85530" w:rsidRPr="0085504A">
              <w:t xml:space="preserve"> </w:t>
            </w:r>
          </w:p>
          <w:p w14:paraId="56DA9D23" w14:textId="762D0FD2" w:rsidR="00C10264" w:rsidRDefault="00C10264" w:rsidP="00C10264">
            <w:pPr>
              <w:jc w:val="both"/>
            </w:pPr>
            <w:r w:rsidRPr="0085504A">
              <w:t>Neadoptarea unor măsuri urgente, cu caracter excepțional, în domeniul fondurilor europene</w:t>
            </w:r>
            <w:r>
              <w:t xml:space="preserve"> ar aduce grave prejudicii, cu efecte pe termen lung asupra situației proiectelor aflate în curs de implementare.</w:t>
            </w:r>
          </w:p>
          <w:p w14:paraId="198E9697" w14:textId="423CBFA8" w:rsidR="001F733F" w:rsidRDefault="006610B5" w:rsidP="006610B5">
            <w:pPr>
              <w:jc w:val="both"/>
              <w:rPr>
                <w:lang w:eastAsia="ro-RO"/>
              </w:rPr>
            </w:pPr>
            <w:r>
              <w:t>Î</w:t>
            </w:r>
            <w:r w:rsidRPr="006610B5">
              <w:rPr>
                <w:lang w:eastAsia="ro-RO"/>
              </w:rPr>
              <w:t xml:space="preserve">n lipsa cadrului general de reglementare pentru </w:t>
            </w:r>
            <w:r w:rsidR="00D777EE" w:rsidRPr="00D777EE">
              <w:rPr>
                <w:lang w:eastAsia="ro-RO"/>
              </w:rPr>
              <w:t>pentru serviciul public inteligent alternativ pentru procesarea apelor uzate menajere, în vederea conformării la legislația europeană privind tratarea apelor uzate</w:t>
            </w:r>
            <w:r w:rsidR="00D777EE">
              <w:rPr>
                <w:lang w:eastAsia="ro-RO"/>
              </w:rPr>
              <w:t>,</w:t>
            </w:r>
            <w:r w:rsidR="00D777EE" w:rsidRPr="00D777EE">
              <w:rPr>
                <w:lang w:eastAsia="ro-RO"/>
              </w:rPr>
              <w:t xml:space="preserve"> </w:t>
            </w:r>
            <w:r w:rsidRPr="006610B5">
              <w:rPr>
                <w:lang w:eastAsia="ro-RO"/>
              </w:rPr>
              <w:t>măsurile identificate nu vor putea fi implementate într-un mod coerent, cu rezultate vizibile care să contribuie la relansarea economică a țării, iar la sfârșitul perioadei de programare actuale există riscul creșterii exponențiale de pierdere a fondurilor alocate României</w:t>
            </w:r>
            <w:r>
              <w:rPr>
                <w:lang w:eastAsia="ro-RO"/>
              </w:rPr>
              <w:t>.</w:t>
            </w:r>
          </w:p>
          <w:p w14:paraId="45862F79" w14:textId="4AA791BB" w:rsidR="006678B1" w:rsidRPr="00206EC6" w:rsidRDefault="006678B1" w:rsidP="006610B5">
            <w:pPr>
              <w:jc w:val="both"/>
              <w:rPr>
                <w:lang w:eastAsia="ro-RO"/>
              </w:rPr>
            </w:pPr>
          </w:p>
        </w:tc>
      </w:tr>
      <w:tr w:rsidR="00206EC6" w:rsidRPr="00206EC6" w14:paraId="40BEF5BB" w14:textId="77777777" w:rsidTr="0025682E">
        <w:tc>
          <w:tcPr>
            <w:tcW w:w="3757" w:type="dxa"/>
          </w:tcPr>
          <w:p w14:paraId="539B0C01" w14:textId="2344B6B0" w:rsidR="00670C79" w:rsidRPr="00206EC6" w:rsidRDefault="00670C79" w:rsidP="006A5A1B">
            <w:pPr>
              <w:pStyle w:val="BodyText2"/>
              <w:rPr>
                <w:sz w:val="24"/>
                <w:lang w:eastAsia="ro-RO"/>
              </w:rPr>
            </w:pPr>
            <w:r w:rsidRPr="00206EC6">
              <w:rPr>
                <w:sz w:val="24"/>
                <w:lang w:eastAsia="ro-RO"/>
              </w:rPr>
              <w:lastRenderedPageBreak/>
              <w:t>11. În cazul proiectelor de acte normative care transpun legislaţie comunitară sau anexa crează cadrul pentru aplicarea directă a acesteia</w:t>
            </w:r>
          </w:p>
          <w:p w14:paraId="47944583" w14:textId="77777777" w:rsidR="0025682E" w:rsidRDefault="0025682E" w:rsidP="006A5A1B">
            <w:pPr>
              <w:pStyle w:val="BodyText2"/>
              <w:rPr>
                <w:sz w:val="24"/>
                <w:lang w:eastAsia="ro-RO"/>
              </w:rPr>
            </w:pPr>
          </w:p>
          <w:p w14:paraId="4416184D" w14:textId="3D83568C" w:rsidR="00EA4C5B" w:rsidRPr="00206EC6" w:rsidRDefault="00EA4C5B" w:rsidP="006A5A1B">
            <w:pPr>
              <w:pStyle w:val="BodyText2"/>
              <w:rPr>
                <w:sz w:val="24"/>
                <w:lang w:eastAsia="ro-RO"/>
              </w:rPr>
            </w:pPr>
          </w:p>
        </w:tc>
        <w:tc>
          <w:tcPr>
            <w:tcW w:w="6440" w:type="dxa"/>
          </w:tcPr>
          <w:p w14:paraId="1D8B2A10" w14:textId="1E5BE0C2" w:rsidR="001F733F" w:rsidRPr="00206EC6" w:rsidRDefault="00670C79" w:rsidP="009B71DC">
            <w:pPr>
              <w:spacing w:before="120" w:after="120"/>
              <w:jc w:val="both"/>
              <w:rPr>
                <w:lang w:eastAsia="ro-RO"/>
              </w:rPr>
            </w:pPr>
            <w:r w:rsidRPr="00206EC6">
              <w:rPr>
                <w:lang w:eastAsia="ro-RO"/>
              </w:rPr>
              <w:t>Proiectul de act normativ nu se referă la acest subiect.</w:t>
            </w:r>
          </w:p>
          <w:p w14:paraId="7ED96985" w14:textId="77777777" w:rsidR="001F733F" w:rsidRPr="00206EC6" w:rsidRDefault="001F733F" w:rsidP="009B71DC">
            <w:pPr>
              <w:spacing w:before="120" w:after="120"/>
              <w:jc w:val="both"/>
              <w:rPr>
                <w:lang w:eastAsia="ro-RO"/>
              </w:rPr>
            </w:pPr>
          </w:p>
          <w:p w14:paraId="1EAF28DA" w14:textId="77777777" w:rsidR="001F733F" w:rsidRPr="00206EC6" w:rsidRDefault="001F733F" w:rsidP="009B71DC">
            <w:pPr>
              <w:spacing w:before="120" w:after="120"/>
              <w:jc w:val="both"/>
              <w:rPr>
                <w:lang w:eastAsia="ro-RO"/>
              </w:rPr>
            </w:pPr>
          </w:p>
        </w:tc>
      </w:tr>
      <w:tr w:rsidR="00206EC6" w:rsidRPr="00706549" w14:paraId="5E9CE6CD" w14:textId="77777777" w:rsidTr="0025682E">
        <w:tc>
          <w:tcPr>
            <w:tcW w:w="3757" w:type="dxa"/>
          </w:tcPr>
          <w:p w14:paraId="78E5EC29" w14:textId="77777777" w:rsidR="00670C79" w:rsidRPr="00706549" w:rsidRDefault="00670C79" w:rsidP="006A5A1B">
            <w:pPr>
              <w:jc w:val="both"/>
              <w:rPr>
                <w:lang w:eastAsia="ro-RO"/>
              </w:rPr>
            </w:pPr>
            <w:r w:rsidRPr="00706549">
              <w:rPr>
                <w:lang w:eastAsia="ro-RO"/>
              </w:rPr>
              <w:t>2.Schimbări preconizate</w:t>
            </w:r>
          </w:p>
        </w:tc>
        <w:tc>
          <w:tcPr>
            <w:tcW w:w="6440" w:type="dxa"/>
          </w:tcPr>
          <w:p w14:paraId="5A7AC880" w14:textId="40A5D8D8" w:rsidR="00C61A5A" w:rsidRPr="00706549" w:rsidRDefault="004926A2" w:rsidP="004926A2">
            <w:pPr>
              <w:spacing w:before="120" w:after="120"/>
              <w:jc w:val="both"/>
              <w:rPr>
                <w:lang w:eastAsia="ro-RO"/>
              </w:rPr>
            </w:pPr>
            <w:r w:rsidRPr="00706549">
              <w:rPr>
                <w:lang w:eastAsia="ro-RO"/>
              </w:rPr>
              <w:t xml:space="preserve">Având în vedere impactul </w:t>
            </w:r>
            <w:r w:rsidR="002C349A" w:rsidRPr="00706549">
              <w:rPr>
                <w:lang w:eastAsia="ro-RO"/>
              </w:rPr>
              <w:t xml:space="preserve">pozitiv economic și social la nivelul întregii societăți civile </w:t>
            </w:r>
            <w:r w:rsidRPr="00706549">
              <w:rPr>
                <w:lang w:eastAsia="ro-RO"/>
              </w:rPr>
              <w:t xml:space="preserve">este imperios necesară crearea </w:t>
            </w:r>
            <w:r w:rsidR="002C349A" w:rsidRPr="00706549">
              <w:rPr>
                <w:lang w:eastAsia="ro-RO"/>
              </w:rPr>
              <w:t>unui</w:t>
            </w:r>
            <w:r w:rsidR="00C61A5A" w:rsidRPr="00706549">
              <w:rPr>
                <w:lang w:eastAsia="ro-RO"/>
              </w:rPr>
              <w:t xml:space="preserve"> cadru coerent prin care investițiile în sectorul de apă și apă uzată să se deruleze</w:t>
            </w:r>
            <w:r w:rsidR="002C349A" w:rsidRPr="00706549">
              <w:rPr>
                <w:lang w:eastAsia="ro-RO"/>
              </w:rPr>
              <w:t>.</w:t>
            </w:r>
          </w:p>
          <w:p w14:paraId="13B70361" w14:textId="4937511F" w:rsidR="004926A2" w:rsidRPr="00706549" w:rsidRDefault="004926A2" w:rsidP="004926A2">
            <w:pPr>
              <w:spacing w:before="120" w:after="120"/>
              <w:jc w:val="both"/>
              <w:rPr>
                <w:lang w:eastAsia="ro-RO"/>
              </w:rPr>
            </w:pPr>
            <w:r w:rsidRPr="00706549">
              <w:rPr>
                <w:lang w:eastAsia="ro-RO"/>
              </w:rPr>
              <w:t>Prezenta ordonanță de urgență reglementează cadrul general</w:t>
            </w:r>
            <w:r w:rsidR="00C61A5A" w:rsidRPr="00706549">
              <w:rPr>
                <w:lang w:eastAsia="ro-RO"/>
              </w:rPr>
              <w:t xml:space="preserve"> privind </w:t>
            </w:r>
            <w:r w:rsidR="00D777EE" w:rsidRPr="00706549">
              <w:rPr>
                <w:lang w:eastAsia="ro-RO"/>
              </w:rPr>
              <w:t xml:space="preserve">serviciul public inteligent alternativ pentru procesarea apelor uzate menajere, în vederea conformării la legislația europeană privind tratarea apelor uzate, pentru unitățile administrativ teritoriale, care nu îndeplinesc condițiile de racordare la rețeaua de canalizare prevăzute de Regulamente/Directive Europene pentru aglomerare urbană, </w:t>
            </w:r>
          </w:p>
          <w:p w14:paraId="0CA08A6D" w14:textId="40621CDE" w:rsidR="00A6258B" w:rsidRPr="00706549" w:rsidRDefault="00A6258B" w:rsidP="004926A2">
            <w:pPr>
              <w:spacing w:before="120" w:after="120"/>
              <w:jc w:val="both"/>
              <w:rPr>
                <w:lang w:eastAsia="ro-RO"/>
              </w:rPr>
            </w:pPr>
            <w:r w:rsidRPr="00706549">
              <w:rPr>
                <w:lang w:eastAsia="ro-RO"/>
              </w:rPr>
              <w:t>Totodată se reglementează o serie de măsuri de sprijin pentru  operatorii regionali de apă, în contextul în care utilizatorii serviciului plătesc cu întârziere sau amână plata facturilor aferente serviciului, ceea ce, pe termen scurt și mediu, poate afecta grav situația economică a acestora, cu posibile consecințe chiar și pe termen lung, periclitând implementarea proiectelor.</w:t>
            </w:r>
          </w:p>
          <w:p w14:paraId="1D58AA61" w14:textId="45EC3FAC" w:rsidR="008C2BF8" w:rsidRPr="00706549" w:rsidRDefault="008C2BF8" w:rsidP="004926A2">
            <w:pPr>
              <w:spacing w:before="120" w:after="120"/>
              <w:jc w:val="both"/>
              <w:rPr>
                <w:lang w:eastAsia="ro-RO"/>
              </w:rPr>
            </w:pPr>
            <w:r w:rsidRPr="00706549">
              <w:rPr>
                <w:lang w:eastAsia="ro-RO"/>
              </w:rPr>
              <w:lastRenderedPageBreak/>
              <w:t>Ȋn consecință, pentru corelarea surselor de finanțare aferente eforturilor de confo</w:t>
            </w:r>
            <w:r w:rsidR="00444B85" w:rsidRPr="00706549">
              <w:rPr>
                <w:lang w:eastAsia="ro-RO"/>
              </w:rPr>
              <w:t>rmare al directivele privind apă și apă</w:t>
            </w:r>
            <w:r w:rsidRPr="00706549">
              <w:rPr>
                <w:lang w:eastAsia="ro-RO"/>
              </w:rPr>
              <w:t xml:space="preserve"> uzată, creșterea gradului dea cces al populației lasurse de apă potabilă și soluții de tratare a apelor uzate, precum și pentru diminuarea riscului de blocare a proiectelor deja aprobate ca urmare a accesului limitat al beneficiarilor la resursele necesare implementării acestora, se impune adoptarea în regim de urgență a unei serii de măsuri, după cum urmează:</w:t>
            </w:r>
          </w:p>
          <w:p w14:paraId="147D0C2A" w14:textId="07390E43" w:rsidR="0063691F" w:rsidRPr="00706549" w:rsidRDefault="00AF581A" w:rsidP="004926A2">
            <w:pPr>
              <w:spacing w:before="120" w:after="120"/>
              <w:jc w:val="both"/>
              <w:rPr>
                <w:lang w:eastAsia="ro-RO"/>
              </w:rPr>
            </w:pPr>
            <w:r w:rsidRPr="00706549">
              <w:rPr>
                <w:lang w:eastAsia="ro-RO"/>
              </w:rPr>
              <w:t>1.</w:t>
            </w:r>
            <w:r w:rsidR="00607DD9" w:rsidRPr="00706549">
              <w:rPr>
                <w:lang w:eastAsia="ro-RO"/>
              </w:rPr>
              <w:t xml:space="preserve"> Având în vedere că în cadrul proiectelor ce se implementează prin POIM o serie de aglomerări,  extinderi și reabilitări ale rețelelor de apă și apă uzată nu au îndeplinit la momentul pregătirii și depunerilor proiectelor condițiile de eligibilitate, nefiind pe cale de consecință incluse în acestea spre a fi finanțate,</w:t>
            </w:r>
            <w:r w:rsidR="007A3B32" w:rsidRPr="00706549">
              <w:rPr>
                <w:lang w:eastAsia="ro-RO"/>
              </w:rPr>
              <w:t xml:space="preserve"> </w:t>
            </w:r>
            <w:r w:rsidR="00607DD9" w:rsidRPr="00706549">
              <w:rPr>
                <w:lang w:eastAsia="ro-RO"/>
              </w:rPr>
              <w:t>accesul populației aferente la serviciile esențiale presupuse de racordarea la sistemele de apă și apă uzată</w:t>
            </w:r>
            <w:r w:rsidR="007A3B32" w:rsidRPr="00706549">
              <w:rPr>
                <w:lang w:eastAsia="ro-RO"/>
              </w:rPr>
              <w:t xml:space="preserve"> este în continuare blocat.</w:t>
            </w:r>
            <w:r w:rsidR="007722CF" w:rsidRPr="00706549">
              <w:rPr>
                <w:lang w:eastAsia="ro-RO"/>
              </w:rPr>
              <w:t xml:space="preserve"> Totodată, luând în considerare că România derulează prin mai multe autorităţi publice centrale programe de investiţii în infrastructura de apă și canalizare cu caracteristici diferite privind eligibilitatea, finanţarea, decontarea şi monitorizarea acestora, se constată apariția suprapunerilor,  ineficiențelor  precum și lipsa unor intervenții integrate, care să se susțină reciproc. În acest sens se impune reglementarea posibilității </w:t>
            </w:r>
            <w:r w:rsidR="00D777EE" w:rsidRPr="00706549">
              <w:rPr>
                <w:lang w:eastAsia="ro-RO"/>
              </w:rPr>
              <w:t xml:space="preserve">unităților administrativ teritoriale cu statut de comună care îndeplinesc condițiile prevăzute de Regulamentele/Directivele Europene pentru racordul la rețeaua de alimentare cu apă și/sau rețeaua de canalizare dar care nu au fost cuprinse inițial în proiectele de alimentare cu apă și canalizare ale operatorilor de servicii care își desfășoară activitatea pe raza unităților administrativ teritoriale de a </w:t>
            </w:r>
            <w:r w:rsidR="007722CF" w:rsidRPr="00706549">
              <w:rPr>
                <w:lang w:eastAsia="ro-RO"/>
              </w:rPr>
              <w:t>beneficia</w:t>
            </w:r>
            <w:r w:rsidR="00D777EE" w:rsidRPr="00706549">
              <w:rPr>
                <w:lang w:eastAsia="ro-RO"/>
              </w:rPr>
              <w:t xml:space="preserve"> de finanțare. </w:t>
            </w:r>
            <w:r w:rsidR="007722CF" w:rsidRPr="00706549">
              <w:rPr>
                <w:lang w:eastAsia="ro-RO"/>
              </w:rPr>
              <w:t xml:space="preserve"> </w:t>
            </w:r>
          </w:p>
          <w:p w14:paraId="1761C81F" w14:textId="149FF72C" w:rsidR="001306E8" w:rsidRPr="00706549" w:rsidRDefault="001306E8" w:rsidP="004926A2">
            <w:pPr>
              <w:spacing w:before="120" w:after="120"/>
              <w:jc w:val="both"/>
              <w:rPr>
                <w:lang w:eastAsia="ro-RO"/>
              </w:rPr>
            </w:pPr>
            <w:r w:rsidRPr="00706549">
              <w:rPr>
                <w:lang w:eastAsia="ro-RO"/>
              </w:rPr>
              <w:t>Sistemele publice inteligente alternative pentru procesarea apelor uzate menajere constituie o soluție în vederea conformării la legislația europeană privind tratarea apelor uzate pentru unitățile administrativ teritoriale care nu îndeplinesc condițiile de racordare la sistemele publice de canalizare a apelor uzate, astfel cum sunt reglementate prin Legea serviciului de alimentare cu apă și de canalizare nr. 241/2006 privind serviciile publice de apă și canalizare, republicată în Monitorul Oficial al României, Partea I, nr. 679 din 7 septembrie 2015, cu modificările și completările ulterioare.</w:t>
            </w:r>
          </w:p>
          <w:p w14:paraId="3D3D32A1" w14:textId="72442D23" w:rsidR="00AA3A92" w:rsidRPr="004E6523" w:rsidRDefault="0063691F" w:rsidP="00AA3A92">
            <w:pPr>
              <w:spacing w:before="120" w:after="120"/>
              <w:jc w:val="both"/>
              <w:rPr>
                <w:lang w:eastAsia="ro-RO"/>
              </w:rPr>
            </w:pPr>
            <w:r w:rsidRPr="00706549">
              <w:rPr>
                <w:lang w:eastAsia="ro-RO"/>
              </w:rPr>
              <w:t>2.</w:t>
            </w:r>
            <w:r w:rsidR="00692099" w:rsidRPr="00706549">
              <w:rPr>
                <w:lang w:eastAsia="ro-RO"/>
              </w:rPr>
              <w:t xml:space="preserve"> </w:t>
            </w:r>
            <w:r w:rsidR="00086329" w:rsidRPr="00706549">
              <w:rPr>
                <w:lang w:eastAsia="ro-RO"/>
              </w:rPr>
              <w:t xml:space="preserve">Prin OUG nr. 80/2019, pentru a debloca promovarea proiectelor din sectorul de apă și apă uzată, cu impact atât în creșterea gradului de absorbție și îndeplinirea indicatorilor de program, cât și în creșterea gradului de conformare și reducere a penalităților aferente unui potențial infringement, au fost reglementate finanțarea de la bugetul de stat a ratei forfetare de 6% pentru proiectele POIM de apă și apă uzată precum și momentul acordării finanțării de la bugetul de stat a ratei </w:t>
            </w:r>
            <w:r w:rsidR="00086329" w:rsidRPr="00706549">
              <w:rPr>
                <w:lang w:eastAsia="ro-RO"/>
              </w:rPr>
              <w:lastRenderedPageBreak/>
              <w:t>forfetare de 6% respectiv după implementarea a 75% din proiect.</w:t>
            </w:r>
            <w:r w:rsidR="00AA3A92" w:rsidRPr="00706549">
              <w:rPr>
                <w:lang w:eastAsia="ro-RO"/>
              </w:rPr>
              <w:t xml:space="preserve"> </w:t>
            </w:r>
            <w:r w:rsidR="00692099" w:rsidRPr="00706549">
              <w:rPr>
                <w:lang w:eastAsia="ro-RO"/>
              </w:rPr>
              <w:t>În circumstanțele excepționale generate de situația epidemiologică, întreprinderile de toate tipurile se pot confrunta cu o lipsă severă de lichiditate. De asemenea, întreprinderile solvabile sau mai puțin solvabile se pot confrunta cu o lipsă bruscă sau chiar indisponibilitate de lichiditate. Acest lucru este valabil în special pentru operatorii regionali de apă, în contextul în care utilizatorii serviciului plătesc cu întârziere sau amână plata facturilor aferente serviciului, ceea ce, pe termen scurt și mediu, va afecta sustenabilitatea economică a acestor cu consecințe grave în ceea ce privește implementarea proiectelor dar chiar și în ce privește asigurarea continuității serviciului.</w:t>
            </w:r>
            <w:r w:rsidR="004B3EFB" w:rsidRPr="00706549">
              <w:rPr>
                <w:lang w:eastAsia="ro-RO"/>
              </w:rPr>
              <w:t xml:space="preserve"> Astfel, se </w:t>
            </w:r>
            <w:r w:rsidR="00D777EE" w:rsidRPr="00706549">
              <w:rPr>
                <w:lang w:eastAsia="ro-RO"/>
              </w:rPr>
              <w:t>r</w:t>
            </w:r>
            <w:r w:rsidR="004B3EFB" w:rsidRPr="00706549">
              <w:rPr>
                <w:lang w:eastAsia="ro-RO"/>
              </w:rPr>
              <w:t>eglement</w:t>
            </w:r>
            <w:r w:rsidR="003926BD" w:rsidRPr="00706549">
              <w:rPr>
                <w:lang w:eastAsia="ro-RO"/>
              </w:rPr>
              <w:t xml:space="preserve">ează </w:t>
            </w:r>
            <w:r w:rsidR="004B3EFB" w:rsidRPr="00706549">
              <w:rPr>
                <w:lang w:eastAsia="ro-RO"/>
              </w:rPr>
              <w:t xml:space="preserve"> finanț</w:t>
            </w:r>
            <w:r w:rsidR="003926BD" w:rsidRPr="00706549">
              <w:rPr>
                <w:lang w:eastAsia="ro-RO"/>
              </w:rPr>
              <w:t xml:space="preserve">area </w:t>
            </w:r>
            <w:r w:rsidR="004B3EFB" w:rsidRPr="00706549">
              <w:rPr>
                <w:lang w:eastAsia="ro-RO"/>
              </w:rPr>
              <w:t xml:space="preserve">de la bugetul de stat </w:t>
            </w:r>
            <w:r w:rsidR="00283006" w:rsidRPr="00706549">
              <w:rPr>
                <w:lang w:eastAsia="ro-RO"/>
              </w:rPr>
              <w:t>a sumelor reprezentând diferența dintre procentul veniturilor nete aferent proiectelor aprobate prin Decizie a Comisiei Europene și rata forfetară de 6% stabilită pentru proiectele de apă-canalizare cu finanțare din fonduri externe nerambursabile pentru operatorii de apă-canalizare ce nu au beneficat de mecanismul ratei forfetare, respectiv operatorii regionali ce operează sistemele de apă și canalizare pe raza unității administrativ teritoriale a județelor Timiș, Galați, Alba, Cluj și Sălaj.</w:t>
            </w:r>
            <w:r w:rsidR="002912EC" w:rsidRPr="00706549">
              <w:rPr>
                <w:lang w:eastAsia="ro-RO"/>
              </w:rPr>
              <w:t xml:space="preserve"> </w:t>
            </w:r>
            <w:r w:rsidR="007B42AC" w:rsidRPr="00706549">
              <w:rPr>
                <w:lang w:eastAsia="ro-RO"/>
              </w:rPr>
              <w:t>Precizăm că</w:t>
            </w:r>
            <w:r w:rsidR="007B42AC" w:rsidRPr="00706549">
              <w:t xml:space="preserve"> </w:t>
            </w:r>
            <w:r w:rsidR="007B42AC" w:rsidRPr="00706549">
              <w:rPr>
                <w:lang w:eastAsia="ro-RO"/>
              </w:rPr>
              <w:t xml:space="preserve">proiectele de apă-canalizare aferente județelor menționate sunt sigurele care au fost aprobate pe baza mecanismului fundamentat pe deficitul de finanțare, anterior intrării în vigoare a  mecanismului de aprobare pe baza de rată forfetară. </w:t>
            </w:r>
            <w:r w:rsidR="00D90A13" w:rsidRPr="00706549">
              <w:rPr>
                <w:lang w:eastAsia="ro-RO"/>
              </w:rPr>
              <w:t>Pentru toate proiectele, suma ce ar urmă să fie susținută prin alocarea unor fonduri de la bugetul de stat se ridică la maxim 146.984.580,81 lei, sumă ce ar urma să fie defalcată pe ani până la finalizareaa peropadei de implementare. De asemenea, mai adăugăm că, l</w:t>
            </w:r>
            <w:r w:rsidR="007B42AC" w:rsidRPr="00706549">
              <w:rPr>
                <w:lang w:eastAsia="ro-RO"/>
              </w:rPr>
              <w:t xml:space="preserve">a acest moment nu se poate </w:t>
            </w:r>
            <w:r w:rsidR="002912EC" w:rsidRPr="00706549">
              <w:rPr>
                <w:lang w:eastAsia="ro-RO"/>
              </w:rPr>
              <w:t xml:space="preserve">estima </w:t>
            </w:r>
            <w:r w:rsidR="007B42AC" w:rsidRPr="00706549">
              <w:rPr>
                <w:lang w:eastAsia="ro-RO"/>
              </w:rPr>
              <w:t xml:space="preserve">impactul asupra bugetului de stat </w:t>
            </w:r>
            <w:r w:rsidR="002912EC" w:rsidRPr="00706549">
              <w:rPr>
                <w:lang w:eastAsia="ro-RO"/>
              </w:rPr>
              <w:t>pentru fiecare din anii de implementare ț</w:t>
            </w:r>
            <w:r w:rsidR="007B42AC" w:rsidRPr="00706549">
              <w:rPr>
                <w:lang w:eastAsia="ro-RO"/>
              </w:rPr>
              <w:t>in</w:t>
            </w:r>
            <w:r w:rsidR="002912EC" w:rsidRPr="00706549">
              <w:rPr>
                <w:lang w:eastAsia="ro-RO"/>
              </w:rPr>
              <w:t>â</w:t>
            </w:r>
            <w:r w:rsidR="007B42AC" w:rsidRPr="00706549">
              <w:rPr>
                <w:lang w:eastAsia="ro-RO"/>
              </w:rPr>
              <w:t>nd cont de faptul că proiectele ce urmează a benefici</w:t>
            </w:r>
            <w:r w:rsidR="002912EC" w:rsidRPr="00706549">
              <w:rPr>
                <w:lang w:eastAsia="ro-RO"/>
              </w:rPr>
              <w:t>a</w:t>
            </w:r>
            <w:r w:rsidR="007B42AC" w:rsidRPr="00706549">
              <w:rPr>
                <w:lang w:eastAsia="ro-RO"/>
              </w:rPr>
              <w:t xml:space="preserve"> de </w:t>
            </w:r>
            <w:r w:rsidR="002912EC" w:rsidRPr="00706549">
              <w:rPr>
                <w:lang w:eastAsia="ro-RO"/>
              </w:rPr>
              <w:t xml:space="preserve">aceste </w:t>
            </w:r>
            <w:r w:rsidR="007B42AC" w:rsidRPr="00706549">
              <w:rPr>
                <w:lang w:eastAsia="ro-RO"/>
              </w:rPr>
              <w:t xml:space="preserve">prevederi </w:t>
            </w:r>
            <w:r w:rsidR="002912EC" w:rsidRPr="00706549">
              <w:rPr>
                <w:lang w:eastAsia="ro-RO"/>
              </w:rPr>
              <w:t>s</w:t>
            </w:r>
            <w:r w:rsidR="007B42AC" w:rsidRPr="00706549">
              <w:rPr>
                <w:lang w:eastAsia="ro-RO"/>
              </w:rPr>
              <w:t xml:space="preserve">e implementa în ritmuri diferite, ținând cont de contextul economic și social general și de condițiile particulare ale regiunii în care se vor implementa. Astfel contribuția aferentă bugetului de stat ar urma să fie angajată în funcție de ritmul implementării și de progresul financiar al proiectelor. </w:t>
            </w:r>
            <w:r w:rsidR="002912EC" w:rsidRPr="00706549">
              <w:rPr>
                <w:lang w:eastAsia="ro-RO"/>
              </w:rPr>
              <w:t xml:space="preserve">Totodată menționăm </w:t>
            </w:r>
            <w:r w:rsidR="007B42AC" w:rsidRPr="00706549">
              <w:rPr>
                <w:lang w:eastAsia="ro-RO"/>
              </w:rPr>
              <w:t xml:space="preserve">că aceste proiecte pot face obiectul procesului de fazare urmând </w:t>
            </w:r>
            <w:r w:rsidR="007B42AC" w:rsidRPr="004E6523">
              <w:rPr>
                <w:lang w:eastAsia="ro-RO"/>
              </w:rPr>
              <w:t>ca angajarea resurselor financiare aferente să acopere inclusiv următoarea perioadă de programare, respectiv 2021-2027.</w:t>
            </w:r>
          </w:p>
          <w:p w14:paraId="0B492405" w14:textId="2CDF1DE4" w:rsidR="008A24F9" w:rsidRPr="00706549" w:rsidRDefault="008A24F9" w:rsidP="00AA3A92">
            <w:pPr>
              <w:spacing w:before="120" w:after="120"/>
              <w:jc w:val="both"/>
              <w:rPr>
                <w:lang w:eastAsia="ro-RO"/>
              </w:rPr>
            </w:pPr>
            <w:r w:rsidRPr="004E6523">
              <w:rPr>
                <w:lang w:eastAsia="ro-RO"/>
              </w:rPr>
              <w:t xml:space="preserve">3. </w:t>
            </w:r>
            <w:r w:rsidR="009254B4" w:rsidRPr="004E6523">
              <w:rPr>
                <w:lang w:eastAsia="ro-RO"/>
              </w:rPr>
              <w:t>Prin Decizia Comisiei Europene C(2020)4680 din data de 7 iulie 2020 a fost modificat Programul Operațional Infrastructură Mare introducându-se ca și categorie specifică de beneficiari sectoarele municipiului București, în calitate de membre ale unei asociaţii de dezvoltare intercomunitară. În acest sens se impune reglementarea posibilității sectoarelor municipiului București de a se asocia în cadrul unor asociaţii de dezvoltare intercomunitară având ca scop serviciul de de salubritate.</w:t>
            </w:r>
          </w:p>
          <w:p w14:paraId="4EB05AEC" w14:textId="0A5B5358" w:rsidR="00014DA1" w:rsidRPr="00706549" w:rsidRDefault="00014DA1" w:rsidP="004B3EFB">
            <w:pPr>
              <w:spacing w:before="120" w:after="120"/>
              <w:jc w:val="both"/>
              <w:rPr>
                <w:lang w:eastAsia="ro-RO"/>
              </w:rPr>
            </w:pPr>
          </w:p>
        </w:tc>
      </w:tr>
      <w:tr w:rsidR="006449AD" w:rsidRPr="00706549" w14:paraId="4F0A040E" w14:textId="77777777" w:rsidTr="0025682E">
        <w:trPr>
          <w:trHeight w:val="952"/>
        </w:trPr>
        <w:tc>
          <w:tcPr>
            <w:tcW w:w="3757" w:type="dxa"/>
          </w:tcPr>
          <w:p w14:paraId="444F22DC" w14:textId="083A927F" w:rsidR="00670C79" w:rsidRPr="00706549" w:rsidRDefault="00670C79" w:rsidP="006A5A1B">
            <w:pPr>
              <w:jc w:val="both"/>
            </w:pPr>
            <w:r w:rsidRPr="00706549">
              <w:lastRenderedPageBreak/>
              <w:t>3.Alte informaţii</w:t>
            </w:r>
          </w:p>
        </w:tc>
        <w:tc>
          <w:tcPr>
            <w:tcW w:w="6440" w:type="dxa"/>
          </w:tcPr>
          <w:p w14:paraId="1E3B96EC" w14:textId="77777777" w:rsidR="0025682E" w:rsidRPr="00706549" w:rsidRDefault="00670C79" w:rsidP="00105808">
            <w:pPr>
              <w:widowControl w:val="0"/>
              <w:autoSpaceDE w:val="0"/>
              <w:autoSpaceDN w:val="0"/>
              <w:adjustRightInd w:val="0"/>
              <w:spacing w:before="120" w:after="120"/>
              <w:jc w:val="both"/>
              <w:rPr>
                <w:iCs/>
                <w:lang w:eastAsia="ro-RO"/>
              </w:rPr>
            </w:pPr>
            <w:r w:rsidRPr="00706549">
              <w:rPr>
                <w:lang w:eastAsia="ro-RO"/>
              </w:rPr>
              <w:t xml:space="preserve">Amânarea </w:t>
            </w:r>
            <w:r w:rsidR="002E3AFC" w:rsidRPr="00706549">
              <w:rPr>
                <w:lang w:eastAsia="ro-RO"/>
              </w:rPr>
              <w:t>adoptării măsurilor propuse ar aduce grave prejudicii, cu efecte pe termen lung asupra proiectelor aflate în pregătire sau în implementare</w:t>
            </w:r>
            <w:r w:rsidRPr="00706549">
              <w:rPr>
                <w:iCs/>
                <w:lang w:eastAsia="ro-RO"/>
              </w:rPr>
              <w:t>.</w:t>
            </w:r>
          </w:p>
          <w:p w14:paraId="33DA0BF8" w14:textId="728F5DFF" w:rsidR="00EA4C5B" w:rsidRPr="00706549" w:rsidRDefault="00EA4C5B" w:rsidP="00105808">
            <w:pPr>
              <w:widowControl w:val="0"/>
              <w:autoSpaceDE w:val="0"/>
              <w:autoSpaceDN w:val="0"/>
              <w:adjustRightInd w:val="0"/>
              <w:spacing w:before="120" w:after="120"/>
              <w:jc w:val="both"/>
            </w:pPr>
          </w:p>
        </w:tc>
      </w:tr>
    </w:tbl>
    <w:p w14:paraId="4D5B7333" w14:textId="77777777" w:rsidR="001F733F" w:rsidRPr="00706549" w:rsidRDefault="001F733F" w:rsidP="0068241E">
      <w:pPr>
        <w:spacing w:before="120" w:after="120"/>
        <w:rPr>
          <w:b/>
        </w:rPr>
      </w:pPr>
    </w:p>
    <w:p w14:paraId="4E4A7A8E" w14:textId="77777777" w:rsidR="00670C79" w:rsidRPr="00706549" w:rsidRDefault="00670C79" w:rsidP="0068241E">
      <w:pPr>
        <w:spacing w:before="120" w:after="120"/>
        <w:ind w:left="720"/>
        <w:rPr>
          <w:b/>
        </w:rPr>
      </w:pPr>
      <w:r w:rsidRPr="00706549">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206EC6" w:rsidRPr="00706549" w14:paraId="4F7B7B5A" w14:textId="77777777" w:rsidTr="006A5A1B">
        <w:tc>
          <w:tcPr>
            <w:tcW w:w="2684" w:type="dxa"/>
          </w:tcPr>
          <w:p w14:paraId="73ED748A" w14:textId="77777777" w:rsidR="00670C79" w:rsidRDefault="00670C79" w:rsidP="006A5A1B">
            <w:r w:rsidRPr="00706549">
              <w:t>1. Impactul macroeconomic</w:t>
            </w:r>
          </w:p>
          <w:p w14:paraId="1A4C81E4" w14:textId="6A9BBEA3" w:rsidR="004E6523" w:rsidRPr="00706549" w:rsidRDefault="004E6523" w:rsidP="006A5A1B"/>
        </w:tc>
        <w:tc>
          <w:tcPr>
            <w:tcW w:w="7556" w:type="dxa"/>
            <w:vAlign w:val="center"/>
          </w:tcPr>
          <w:p w14:paraId="32640339" w14:textId="77777777" w:rsidR="00670C79" w:rsidRPr="00706549" w:rsidRDefault="00670C79" w:rsidP="006A5A1B">
            <w:r w:rsidRPr="00706549">
              <w:t>Proiectul de act normativ nu se referă la acest subiect.</w:t>
            </w:r>
          </w:p>
          <w:p w14:paraId="041FB550" w14:textId="77777777" w:rsidR="0025682E" w:rsidRPr="00706549" w:rsidRDefault="0025682E" w:rsidP="006A5A1B"/>
        </w:tc>
      </w:tr>
      <w:tr w:rsidR="00206EC6" w:rsidRPr="00706549" w14:paraId="11154DDC" w14:textId="77777777" w:rsidTr="006A5A1B">
        <w:tc>
          <w:tcPr>
            <w:tcW w:w="2684" w:type="dxa"/>
          </w:tcPr>
          <w:p w14:paraId="39398939" w14:textId="77777777" w:rsidR="00670C79" w:rsidRPr="00706549" w:rsidRDefault="00670C79" w:rsidP="00085904">
            <w:pPr>
              <w:jc w:val="both"/>
            </w:pPr>
            <w:r w:rsidRPr="00706549">
              <w:t>1</w:t>
            </w:r>
            <w:r w:rsidRPr="00706549">
              <w:rPr>
                <w:vertAlign w:val="superscript"/>
              </w:rPr>
              <w:t>1</w:t>
            </w:r>
            <w:r w:rsidRPr="00706549">
              <w:t>. Impactul asupra mediului concurenţial şi domeniului ajutoarelor de stat</w:t>
            </w:r>
          </w:p>
          <w:p w14:paraId="4F381BDD" w14:textId="1BAF9025" w:rsidR="006678B1" w:rsidRPr="00706549" w:rsidRDefault="006678B1" w:rsidP="00085904">
            <w:pPr>
              <w:jc w:val="both"/>
            </w:pPr>
          </w:p>
        </w:tc>
        <w:tc>
          <w:tcPr>
            <w:tcW w:w="7556" w:type="dxa"/>
            <w:vAlign w:val="center"/>
          </w:tcPr>
          <w:p w14:paraId="3691C3E7" w14:textId="77777777" w:rsidR="00670C79" w:rsidRPr="00706549" w:rsidRDefault="00670C79" w:rsidP="006A5A1B">
            <w:pPr>
              <w:spacing w:line="360" w:lineRule="auto"/>
              <w:jc w:val="both"/>
            </w:pPr>
            <w:r w:rsidRPr="00706549">
              <w:t>Proiectul de act normativ nu se referă la acest subiect.</w:t>
            </w:r>
          </w:p>
        </w:tc>
      </w:tr>
      <w:tr w:rsidR="00206EC6" w:rsidRPr="00706549" w14:paraId="2B719308" w14:textId="77777777" w:rsidTr="006A5A1B">
        <w:tc>
          <w:tcPr>
            <w:tcW w:w="2684" w:type="dxa"/>
          </w:tcPr>
          <w:p w14:paraId="0A834470" w14:textId="77777777" w:rsidR="00670C79" w:rsidRPr="00706549" w:rsidRDefault="00670C79" w:rsidP="006A5A1B">
            <w:r w:rsidRPr="00706549">
              <w:t>2. Impact asupra mediului de afaceri</w:t>
            </w:r>
          </w:p>
          <w:p w14:paraId="7958BBB2" w14:textId="6D665978" w:rsidR="006678B1" w:rsidRPr="00706549" w:rsidRDefault="006678B1" w:rsidP="006A5A1B"/>
        </w:tc>
        <w:tc>
          <w:tcPr>
            <w:tcW w:w="7556" w:type="dxa"/>
            <w:vAlign w:val="center"/>
          </w:tcPr>
          <w:p w14:paraId="41DC7255" w14:textId="77777777" w:rsidR="00670C79" w:rsidRPr="00706549" w:rsidRDefault="00670C79" w:rsidP="006A5A1B">
            <w:pPr>
              <w:jc w:val="both"/>
            </w:pPr>
            <w:r w:rsidRPr="00706549">
              <w:t>Proiectul de act normativ nu se referă la acest subiect.</w:t>
            </w:r>
          </w:p>
          <w:p w14:paraId="5C25A681" w14:textId="77777777" w:rsidR="0025682E" w:rsidRPr="00706549" w:rsidRDefault="0025682E" w:rsidP="006A5A1B">
            <w:pPr>
              <w:jc w:val="both"/>
            </w:pPr>
          </w:p>
        </w:tc>
      </w:tr>
      <w:tr w:rsidR="00206EC6" w:rsidRPr="00706549" w14:paraId="6802A78A" w14:textId="77777777" w:rsidTr="006A5A1B">
        <w:tc>
          <w:tcPr>
            <w:tcW w:w="2684" w:type="dxa"/>
          </w:tcPr>
          <w:p w14:paraId="0BDCAD49" w14:textId="77777777" w:rsidR="00670C79" w:rsidRPr="00706549"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706549">
              <w:rPr>
                <w:lang w:eastAsia="ro-RO"/>
              </w:rPr>
              <w:t>2^1. Impactul asupra sarcinilor administrative</w:t>
            </w:r>
          </w:p>
          <w:p w14:paraId="3F227086" w14:textId="0550E7E3" w:rsidR="006678B1" w:rsidRPr="00706549" w:rsidRDefault="006678B1"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556" w:type="dxa"/>
            <w:vAlign w:val="center"/>
          </w:tcPr>
          <w:p w14:paraId="27439D9F" w14:textId="77777777" w:rsidR="00670C79" w:rsidRPr="00706549" w:rsidRDefault="00670C79" w:rsidP="006A5A1B">
            <w:pPr>
              <w:jc w:val="both"/>
            </w:pPr>
            <w:r w:rsidRPr="00706549">
              <w:t>Proiectul de act normativ nu se referă la acest subiect.</w:t>
            </w:r>
          </w:p>
        </w:tc>
      </w:tr>
      <w:tr w:rsidR="00206EC6" w:rsidRPr="00706549" w14:paraId="1EE623DB" w14:textId="77777777" w:rsidTr="006A5A1B">
        <w:tc>
          <w:tcPr>
            <w:tcW w:w="2684" w:type="dxa"/>
          </w:tcPr>
          <w:p w14:paraId="4F578FA6" w14:textId="77777777" w:rsidR="00670C79" w:rsidRPr="00706549" w:rsidRDefault="00670C79" w:rsidP="00085904">
            <w:pPr>
              <w:pStyle w:val="HTMLPreformatted"/>
              <w:shd w:val="clear" w:color="auto" w:fill="FFFFFF"/>
              <w:jc w:val="both"/>
              <w:rPr>
                <w:rFonts w:ascii="Times New Roman" w:hAnsi="Times New Roman" w:cs="Times New Roman"/>
                <w:sz w:val="24"/>
                <w:szCs w:val="24"/>
              </w:rPr>
            </w:pPr>
            <w:r w:rsidRPr="00706549">
              <w:rPr>
                <w:rFonts w:ascii="Times New Roman" w:hAnsi="Times New Roman" w:cs="Times New Roman"/>
                <w:sz w:val="24"/>
                <w:szCs w:val="24"/>
              </w:rPr>
              <w:t>2^2. Impactul asupra întreprinderilor mici și mijlocii</w:t>
            </w:r>
          </w:p>
          <w:p w14:paraId="48E23D9D" w14:textId="2A851A88" w:rsidR="006678B1" w:rsidRPr="00706549" w:rsidRDefault="006678B1" w:rsidP="00085904">
            <w:pPr>
              <w:pStyle w:val="HTMLPreformatted"/>
              <w:shd w:val="clear" w:color="auto" w:fill="FFFFFF"/>
              <w:jc w:val="both"/>
              <w:rPr>
                <w:rFonts w:ascii="Times New Roman" w:hAnsi="Times New Roman" w:cs="Times New Roman"/>
                <w:sz w:val="24"/>
                <w:szCs w:val="24"/>
              </w:rPr>
            </w:pPr>
          </w:p>
        </w:tc>
        <w:tc>
          <w:tcPr>
            <w:tcW w:w="7556" w:type="dxa"/>
            <w:vAlign w:val="center"/>
          </w:tcPr>
          <w:p w14:paraId="2A6279C4" w14:textId="77777777" w:rsidR="00670C79" w:rsidRPr="00706549" w:rsidRDefault="00670C79" w:rsidP="006A5A1B">
            <w:pPr>
              <w:jc w:val="both"/>
            </w:pPr>
            <w:r w:rsidRPr="00706549">
              <w:t>Proiectul de act normativ nu se referă la acest subiect.</w:t>
            </w:r>
          </w:p>
        </w:tc>
      </w:tr>
      <w:tr w:rsidR="00206EC6" w:rsidRPr="00706549" w14:paraId="4036C85E" w14:textId="77777777" w:rsidTr="006A5A1B">
        <w:tc>
          <w:tcPr>
            <w:tcW w:w="2684" w:type="dxa"/>
          </w:tcPr>
          <w:p w14:paraId="7DFA3F41" w14:textId="77777777" w:rsidR="00670C79" w:rsidRPr="00706549" w:rsidRDefault="00670C79" w:rsidP="006A5A1B">
            <w:r w:rsidRPr="00706549">
              <w:t>3. Implicaţii sociale</w:t>
            </w:r>
          </w:p>
        </w:tc>
        <w:tc>
          <w:tcPr>
            <w:tcW w:w="7556" w:type="dxa"/>
            <w:vAlign w:val="center"/>
          </w:tcPr>
          <w:p w14:paraId="04599162" w14:textId="77777777" w:rsidR="00670C79" w:rsidRPr="00706549" w:rsidRDefault="00670C79" w:rsidP="006A5A1B">
            <w:pPr>
              <w:jc w:val="both"/>
            </w:pPr>
            <w:r w:rsidRPr="00706549">
              <w:t>Proiectul de act normativ nu se referă la acest subiect.</w:t>
            </w:r>
          </w:p>
          <w:p w14:paraId="7B2B1E4F" w14:textId="77777777" w:rsidR="00670C79" w:rsidRPr="00706549" w:rsidRDefault="00670C79" w:rsidP="006A5A1B">
            <w:pPr>
              <w:jc w:val="both"/>
            </w:pPr>
          </w:p>
        </w:tc>
      </w:tr>
      <w:tr w:rsidR="00206EC6" w:rsidRPr="00706549" w14:paraId="59D45322" w14:textId="77777777" w:rsidTr="006A5A1B">
        <w:tc>
          <w:tcPr>
            <w:tcW w:w="2684" w:type="dxa"/>
          </w:tcPr>
          <w:p w14:paraId="47C98E48" w14:textId="77777777" w:rsidR="00670C79" w:rsidRPr="00706549" w:rsidRDefault="00670C79" w:rsidP="006A5A1B">
            <w:r w:rsidRPr="00706549">
              <w:t>4. Impact asupra mediului</w:t>
            </w:r>
          </w:p>
          <w:p w14:paraId="10B187CE" w14:textId="12DD1DB6" w:rsidR="006678B1" w:rsidRPr="00706549" w:rsidRDefault="006678B1" w:rsidP="006A5A1B"/>
        </w:tc>
        <w:tc>
          <w:tcPr>
            <w:tcW w:w="7556" w:type="dxa"/>
            <w:vAlign w:val="center"/>
          </w:tcPr>
          <w:p w14:paraId="05B3B285" w14:textId="197A0407" w:rsidR="00670C79" w:rsidRPr="00706549" w:rsidRDefault="0019532E" w:rsidP="0019532E">
            <w:pPr>
              <w:jc w:val="both"/>
            </w:pPr>
            <w:r w:rsidRPr="00706549">
              <w:t>Proiectul de act normativ va avea impact favorabil asupra mediului prin creearea condițiilor favorizante conformării la prevederile Directivei 91/271/CEE privind epurarea apelor uzate urbane.</w:t>
            </w:r>
          </w:p>
        </w:tc>
      </w:tr>
      <w:tr w:rsidR="006449AD" w:rsidRPr="00706549" w14:paraId="32110270" w14:textId="77777777" w:rsidTr="006A5A1B">
        <w:tc>
          <w:tcPr>
            <w:tcW w:w="2684" w:type="dxa"/>
          </w:tcPr>
          <w:p w14:paraId="41862FBF" w14:textId="77777777" w:rsidR="00670C79" w:rsidRPr="00706549" w:rsidRDefault="00670C79" w:rsidP="006A5A1B">
            <w:r w:rsidRPr="00706549">
              <w:t>5. Alte informaţii</w:t>
            </w:r>
          </w:p>
        </w:tc>
        <w:tc>
          <w:tcPr>
            <w:tcW w:w="7556" w:type="dxa"/>
            <w:vAlign w:val="center"/>
          </w:tcPr>
          <w:p w14:paraId="53E2778B" w14:textId="59F618F1" w:rsidR="00EA4C5B" w:rsidRPr="00706549" w:rsidRDefault="00670C79" w:rsidP="006A5A1B">
            <w:pPr>
              <w:spacing w:line="360" w:lineRule="auto"/>
              <w:jc w:val="both"/>
            </w:pPr>
            <w:r w:rsidRPr="00706549">
              <w:t>Nu au fost identificate.</w:t>
            </w:r>
          </w:p>
        </w:tc>
      </w:tr>
    </w:tbl>
    <w:p w14:paraId="40C7093F" w14:textId="77777777" w:rsidR="0025682E" w:rsidRPr="00706549" w:rsidRDefault="0025682E" w:rsidP="0068241E">
      <w:pPr>
        <w:ind w:left="720"/>
        <w:jc w:val="both"/>
        <w:rPr>
          <w:b/>
        </w:rPr>
      </w:pPr>
    </w:p>
    <w:p w14:paraId="34AED0C5" w14:textId="7082BE6D" w:rsidR="00670C79" w:rsidRPr="00706549" w:rsidRDefault="00670C79" w:rsidP="0068241E">
      <w:pPr>
        <w:ind w:left="720"/>
        <w:jc w:val="both"/>
        <w:rPr>
          <w:b/>
        </w:rPr>
      </w:pPr>
      <w:r w:rsidRPr="00706549">
        <w:rPr>
          <w:b/>
        </w:rPr>
        <w:t>Secţiunea a 4-a. Impactul financiar asupra bugetului de stat consolidat, atât pe termen scurt, pentru anul curent, cât şi pe termen lung (pe 5 ani)</w:t>
      </w:r>
    </w:p>
    <w:p w14:paraId="62D03C41" w14:textId="77777777" w:rsidR="0068241E" w:rsidRPr="00706549" w:rsidRDefault="0068241E"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206EC6" w:rsidRPr="00706549" w14:paraId="57D824B3" w14:textId="77777777" w:rsidTr="006A5A1B">
        <w:tc>
          <w:tcPr>
            <w:tcW w:w="2880" w:type="dxa"/>
          </w:tcPr>
          <w:p w14:paraId="318BEE35" w14:textId="77777777" w:rsidR="00670C79" w:rsidRPr="00706549" w:rsidRDefault="00670C79" w:rsidP="006A5A1B">
            <w:pPr>
              <w:pStyle w:val="Heading2"/>
              <w:rPr>
                <w:sz w:val="24"/>
              </w:rPr>
            </w:pPr>
            <w:r w:rsidRPr="00706549">
              <w:rPr>
                <w:sz w:val="24"/>
              </w:rPr>
              <w:t>Indicatori</w:t>
            </w:r>
          </w:p>
        </w:tc>
        <w:tc>
          <w:tcPr>
            <w:tcW w:w="1080" w:type="dxa"/>
          </w:tcPr>
          <w:p w14:paraId="603E3C85" w14:textId="77777777" w:rsidR="00670C79" w:rsidRPr="00706549" w:rsidRDefault="00670C79" w:rsidP="006A5A1B">
            <w:pPr>
              <w:jc w:val="center"/>
            </w:pPr>
            <w:r w:rsidRPr="00706549">
              <w:t>An curent</w:t>
            </w:r>
          </w:p>
        </w:tc>
        <w:tc>
          <w:tcPr>
            <w:tcW w:w="4320" w:type="dxa"/>
            <w:gridSpan w:val="4"/>
          </w:tcPr>
          <w:p w14:paraId="4EA4AF47" w14:textId="77777777" w:rsidR="00670C79" w:rsidRPr="00706549" w:rsidRDefault="00670C79" w:rsidP="006A5A1B">
            <w:pPr>
              <w:jc w:val="center"/>
            </w:pPr>
            <w:r w:rsidRPr="00706549">
              <w:t>Următorii 4 ani</w:t>
            </w:r>
          </w:p>
        </w:tc>
        <w:tc>
          <w:tcPr>
            <w:tcW w:w="1980" w:type="dxa"/>
          </w:tcPr>
          <w:p w14:paraId="1EE52564" w14:textId="77777777" w:rsidR="00670C79" w:rsidRPr="00706549" w:rsidRDefault="00670C79" w:rsidP="006A5A1B">
            <w:pPr>
              <w:jc w:val="center"/>
            </w:pPr>
            <w:r w:rsidRPr="00706549">
              <w:t>Media următorilor 5 ani, după anul curent</w:t>
            </w:r>
          </w:p>
        </w:tc>
      </w:tr>
      <w:tr w:rsidR="00206EC6" w:rsidRPr="00706549" w14:paraId="31AEB740" w14:textId="77777777" w:rsidTr="006A5A1B">
        <w:tc>
          <w:tcPr>
            <w:tcW w:w="2880" w:type="dxa"/>
          </w:tcPr>
          <w:p w14:paraId="1A04C9C9" w14:textId="77777777" w:rsidR="00670C79" w:rsidRPr="00706549" w:rsidRDefault="00670C79" w:rsidP="006A5A1B">
            <w:pPr>
              <w:jc w:val="center"/>
            </w:pPr>
            <w:r w:rsidRPr="00706549">
              <w:t>1</w:t>
            </w:r>
          </w:p>
        </w:tc>
        <w:tc>
          <w:tcPr>
            <w:tcW w:w="1080" w:type="dxa"/>
            <w:vAlign w:val="center"/>
          </w:tcPr>
          <w:p w14:paraId="44BDE6EE" w14:textId="77777777" w:rsidR="00670C79" w:rsidRPr="00706549" w:rsidRDefault="00670C79" w:rsidP="006A5A1B">
            <w:pPr>
              <w:spacing w:line="360" w:lineRule="auto"/>
              <w:jc w:val="center"/>
            </w:pPr>
            <w:r w:rsidRPr="00706549">
              <w:t>2</w:t>
            </w:r>
          </w:p>
        </w:tc>
        <w:tc>
          <w:tcPr>
            <w:tcW w:w="900" w:type="dxa"/>
            <w:vAlign w:val="center"/>
          </w:tcPr>
          <w:p w14:paraId="44511A2B" w14:textId="77777777" w:rsidR="00670C79" w:rsidRPr="00706549" w:rsidRDefault="00670C79" w:rsidP="006A5A1B">
            <w:pPr>
              <w:spacing w:line="360" w:lineRule="auto"/>
              <w:jc w:val="center"/>
            </w:pPr>
            <w:r w:rsidRPr="00706549">
              <w:t>3</w:t>
            </w:r>
          </w:p>
        </w:tc>
        <w:tc>
          <w:tcPr>
            <w:tcW w:w="1080" w:type="dxa"/>
            <w:vAlign w:val="center"/>
          </w:tcPr>
          <w:p w14:paraId="7665B810" w14:textId="77777777" w:rsidR="00670C79" w:rsidRPr="00706549" w:rsidRDefault="00670C79" w:rsidP="006A5A1B">
            <w:pPr>
              <w:spacing w:line="360" w:lineRule="auto"/>
              <w:jc w:val="center"/>
            </w:pPr>
            <w:r w:rsidRPr="00706549">
              <w:t>4</w:t>
            </w:r>
          </w:p>
        </w:tc>
        <w:tc>
          <w:tcPr>
            <w:tcW w:w="1080" w:type="dxa"/>
            <w:vAlign w:val="center"/>
          </w:tcPr>
          <w:p w14:paraId="375332DA" w14:textId="77777777" w:rsidR="00670C79" w:rsidRPr="00706549" w:rsidRDefault="00670C79" w:rsidP="006A5A1B">
            <w:pPr>
              <w:spacing w:line="360" w:lineRule="auto"/>
              <w:jc w:val="center"/>
            </w:pPr>
            <w:r w:rsidRPr="00706549">
              <w:t>5</w:t>
            </w:r>
          </w:p>
        </w:tc>
        <w:tc>
          <w:tcPr>
            <w:tcW w:w="1260" w:type="dxa"/>
            <w:vAlign w:val="center"/>
          </w:tcPr>
          <w:p w14:paraId="0DD2A48C" w14:textId="77777777" w:rsidR="00670C79" w:rsidRPr="00706549" w:rsidRDefault="00670C79" w:rsidP="006A5A1B">
            <w:pPr>
              <w:spacing w:line="360" w:lineRule="auto"/>
              <w:jc w:val="center"/>
            </w:pPr>
            <w:r w:rsidRPr="00706549">
              <w:t>6</w:t>
            </w:r>
          </w:p>
        </w:tc>
        <w:tc>
          <w:tcPr>
            <w:tcW w:w="1980" w:type="dxa"/>
            <w:vAlign w:val="center"/>
          </w:tcPr>
          <w:p w14:paraId="64FF500C" w14:textId="77777777" w:rsidR="00670C79" w:rsidRPr="00706549" w:rsidRDefault="00670C79" w:rsidP="006A5A1B">
            <w:pPr>
              <w:spacing w:line="360" w:lineRule="auto"/>
              <w:jc w:val="center"/>
            </w:pPr>
            <w:r w:rsidRPr="00706549">
              <w:t>7</w:t>
            </w:r>
          </w:p>
        </w:tc>
      </w:tr>
      <w:tr w:rsidR="00206EC6" w:rsidRPr="00206EC6" w14:paraId="24F374CE" w14:textId="77777777" w:rsidTr="006A5A1B">
        <w:tc>
          <w:tcPr>
            <w:tcW w:w="2880" w:type="dxa"/>
          </w:tcPr>
          <w:p w14:paraId="16B8D264" w14:textId="77777777" w:rsidR="00670C79" w:rsidRPr="00706549" w:rsidRDefault="00670C79" w:rsidP="00085904">
            <w:pPr>
              <w:jc w:val="both"/>
            </w:pPr>
            <w:r w:rsidRPr="00706549">
              <w:t>1.Modificări ale veniturilor bugetare, plus/minus, din care:</w:t>
            </w:r>
          </w:p>
          <w:p w14:paraId="4B6C0C63" w14:textId="77777777" w:rsidR="00670C79" w:rsidRPr="00706549" w:rsidRDefault="00670C79" w:rsidP="00085904">
            <w:pPr>
              <w:jc w:val="both"/>
            </w:pPr>
            <w:r w:rsidRPr="00706549">
              <w:t>a)bugetul de stat, din acesta:</w:t>
            </w:r>
          </w:p>
          <w:p w14:paraId="0B240570" w14:textId="77777777" w:rsidR="00670C79" w:rsidRPr="00706549" w:rsidRDefault="00670C79" w:rsidP="00085904">
            <w:pPr>
              <w:jc w:val="both"/>
            </w:pPr>
            <w:r w:rsidRPr="00706549">
              <w:t>-impozit pe profit</w:t>
            </w:r>
          </w:p>
          <w:p w14:paraId="7FF15A7F" w14:textId="77777777" w:rsidR="00670C79" w:rsidRPr="00706549" w:rsidRDefault="00670C79" w:rsidP="00085904">
            <w:pPr>
              <w:jc w:val="both"/>
            </w:pPr>
            <w:r w:rsidRPr="00706549">
              <w:lastRenderedPageBreak/>
              <w:t>-impozit pe venit</w:t>
            </w:r>
          </w:p>
          <w:p w14:paraId="6929BEE8" w14:textId="77777777" w:rsidR="00670C79" w:rsidRPr="00706549" w:rsidRDefault="00670C79" w:rsidP="00085904">
            <w:pPr>
              <w:jc w:val="both"/>
            </w:pPr>
            <w:r w:rsidRPr="00706549">
              <w:t>b)bugete locale:</w:t>
            </w:r>
          </w:p>
          <w:p w14:paraId="018DC564" w14:textId="77777777" w:rsidR="00670C79" w:rsidRPr="00706549" w:rsidRDefault="00670C79" w:rsidP="00085904">
            <w:pPr>
              <w:jc w:val="both"/>
            </w:pPr>
            <w:r w:rsidRPr="00706549">
              <w:t>-impozit pe profit</w:t>
            </w:r>
          </w:p>
          <w:p w14:paraId="36DA5184" w14:textId="77777777" w:rsidR="00670C79" w:rsidRPr="00706549" w:rsidRDefault="00670C79" w:rsidP="00085904">
            <w:pPr>
              <w:jc w:val="both"/>
            </w:pPr>
            <w:r w:rsidRPr="00706549">
              <w:t>c)bugetul asigurărilor sociale</w:t>
            </w:r>
          </w:p>
          <w:p w14:paraId="5B8085EB" w14:textId="77777777" w:rsidR="00670C79" w:rsidRPr="00206EC6" w:rsidRDefault="00670C79" w:rsidP="00085904">
            <w:pPr>
              <w:jc w:val="both"/>
            </w:pPr>
            <w:r w:rsidRPr="00706549">
              <w:t>-contribuţii de asigurări</w:t>
            </w:r>
          </w:p>
          <w:p w14:paraId="7075F3AB" w14:textId="77777777" w:rsidR="0025682E" w:rsidRPr="00206EC6" w:rsidRDefault="0025682E" w:rsidP="00085904">
            <w:pPr>
              <w:jc w:val="both"/>
            </w:pPr>
          </w:p>
        </w:tc>
        <w:tc>
          <w:tcPr>
            <w:tcW w:w="1080" w:type="dxa"/>
          </w:tcPr>
          <w:p w14:paraId="7811CDB2" w14:textId="77777777" w:rsidR="00670C79" w:rsidRPr="00206EC6" w:rsidRDefault="00670C79" w:rsidP="006A5A1B">
            <w:pPr>
              <w:pStyle w:val="BodyText2"/>
              <w:rPr>
                <w:sz w:val="24"/>
              </w:rPr>
            </w:pPr>
          </w:p>
        </w:tc>
        <w:tc>
          <w:tcPr>
            <w:tcW w:w="900" w:type="dxa"/>
          </w:tcPr>
          <w:p w14:paraId="5E0D1921" w14:textId="77777777" w:rsidR="00670C79" w:rsidRPr="00206EC6" w:rsidRDefault="00670C79" w:rsidP="006A5A1B">
            <w:pPr>
              <w:pStyle w:val="BodyText2"/>
              <w:rPr>
                <w:sz w:val="24"/>
              </w:rPr>
            </w:pPr>
          </w:p>
        </w:tc>
        <w:tc>
          <w:tcPr>
            <w:tcW w:w="1080" w:type="dxa"/>
          </w:tcPr>
          <w:p w14:paraId="3789DD62" w14:textId="77777777" w:rsidR="00670C79" w:rsidRPr="00206EC6" w:rsidRDefault="00670C79" w:rsidP="006A5A1B">
            <w:pPr>
              <w:pStyle w:val="BodyText2"/>
              <w:rPr>
                <w:sz w:val="24"/>
              </w:rPr>
            </w:pPr>
          </w:p>
        </w:tc>
        <w:tc>
          <w:tcPr>
            <w:tcW w:w="1080" w:type="dxa"/>
          </w:tcPr>
          <w:p w14:paraId="3EFEBCA3" w14:textId="77777777" w:rsidR="00670C79" w:rsidRPr="00206EC6" w:rsidRDefault="00670C79" w:rsidP="006A5A1B">
            <w:pPr>
              <w:pStyle w:val="BodyText2"/>
              <w:rPr>
                <w:sz w:val="24"/>
              </w:rPr>
            </w:pPr>
          </w:p>
        </w:tc>
        <w:tc>
          <w:tcPr>
            <w:tcW w:w="1260" w:type="dxa"/>
          </w:tcPr>
          <w:p w14:paraId="4D97905B" w14:textId="77777777" w:rsidR="00670C79" w:rsidRPr="00206EC6" w:rsidRDefault="00670C79" w:rsidP="006A5A1B">
            <w:pPr>
              <w:pStyle w:val="BodyText2"/>
              <w:rPr>
                <w:sz w:val="24"/>
              </w:rPr>
            </w:pPr>
          </w:p>
        </w:tc>
        <w:tc>
          <w:tcPr>
            <w:tcW w:w="1980" w:type="dxa"/>
          </w:tcPr>
          <w:p w14:paraId="4A89D66A" w14:textId="77777777" w:rsidR="00670C79" w:rsidRPr="00206EC6" w:rsidRDefault="00670C79" w:rsidP="006A5A1B">
            <w:pPr>
              <w:pStyle w:val="BodyText2"/>
              <w:rPr>
                <w:sz w:val="24"/>
              </w:rPr>
            </w:pPr>
          </w:p>
        </w:tc>
      </w:tr>
      <w:tr w:rsidR="00206EC6" w:rsidRPr="00206EC6" w14:paraId="126F1061" w14:textId="77777777" w:rsidTr="006A5A1B">
        <w:tc>
          <w:tcPr>
            <w:tcW w:w="2880" w:type="dxa"/>
          </w:tcPr>
          <w:p w14:paraId="2AD4C393" w14:textId="77777777" w:rsidR="00ED5D29" w:rsidRPr="00206EC6" w:rsidRDefault="00ED5D29" w:rsidP="00085904">
            <w:pPr>
              <w:jc w:val="both"/>
            </w:pPr>
            <w:r w:rsidRPr="00206EC6">
              <w:lastRenderedPageBreak/>
              <w:t>2.Modificări ale cheltuielilor bugetare din care:</w:t>
            </w:r>
          </w:p>
          <w:p w14:paraId="3F5FB5D8" w14:textId="77777777" w:rsidR="00ED5D29" w:rsidRPr="00206EC6" w:rsidRDefault="00ED5D29" w:rsidP="00085904">
            <w:pPr>
              <w:jc w:val="both"/>
            </w:pPr>
            <w:r w:rsidRPr="00206EC6">
              <w:t>a)bugetul de stat, din acesta:</w:t>
            </w:r>
          </w:p>
          <w:p w14:paraId="55CFF855" w14:textId="77777777" w:rsidR="00ED5D29" w:rsidRPr="00206EC6" w:rsidRDefault="00ED5D29" w:rsidP="00085904">
            <w:pPr>
              <w:jc w:val="both"/>
            </w:pPr>
            <w:r w:rsidRPr="00206EC6">
              <w:t>-cheltuieli de personal</w:t>
            </w:r>
          </w:p>
          <w:p w14:paraId="2676BF0E" w14:textId="77777777" w:rsidR="00ED5D29" w:rsidRPr="00206EC6" w:rsidRDefault="00ED5D29" w:rsidP="00085904">
            <w:pPr>
              <w:jc w:val="both"/>
            </w:pPr>
            <w:r w:rsidRPr="00206EC6">
              <w:t>-bunuri şi servicii</w:t>
            </w:r>
          </w:p>
          <w:p w14:paraId="348C3E53" w14:textId="77777777" w:rsidR="00ED5D29" w:rsidRPr="00206EC6" w:rsidRDefault="00ED5D29" w:rsidP="00085904">
            <w:pPr>
              <w:jc w:val="both"/>
            </w:pPr>
            <w:r w:rsidRPr="00206EC6">
              <w:t>b)bugete locale:</w:t>
            </w:r>
          </w:p>
          <w:p w14:paraId="033FBF83" w14:textId="77777777" w:rsidR="00ED5D29" w:rsidRPr="00206EC6" w:rsidRDefault="00ED5D29" w:rsidP="00085904">
            <w:pPr>
              <w:jc w:val="both"/>
            </w:pPr>
            <w:r w:rsidRPr="00206EC6">
              <w:t>-cheltuieli de personal</w:t>
            </w:r>
          </w:p>
          <w:p w14:paraId="3FA2B166" w14:textId="77777777" w:rsidR="00ED5D29" w:rsidRPr="00206EC6" w:rsidRDefault="00ED5D29" w:rsidP="00085904">
            <w:pPr>
              <w:jc w:val="both"/>
            </w:pPr>
            <w:r w:rsidRPr="00206EC6">
              <w:t>-bunuri şi servicii</w:t>
            </w:r>
          </w:p>
          <w:p w14:paraId="5F7C615C" w14:textId="77777777" w:rsidR="00ED5D29" w:rsidRPr="00206EC6" w:rsidRDefault="00ED5D29" w:rsidP="00085904">
            <w:pPr>
              <w:jc w:val="both"/>
            </w:pPr>
            <w:r w:rsidRPr="00206EC6">
              <w:t>c)bugetul asigurărilor sociale</w:t>
            </w:r>
          </w:p>
          <w:p w14:paraId="41AFE5F5" w14:textId="77777777" w:rsidR="00ED5D29" w:rsidRPr="00206EC6" w:rsidRDefault="00ED5D29" w:rsidP="00085904">
            <w:pPr>
              <w:jc w:val="both"/>
            </w:pPr>
            <w:r w:rsidRPr="00206EC6">
              <w:t>-cheltuieli de personal</w:t>
            </w:r>
          </w:p>
          <w:p w14:paraId="6C9E6E7F" w14:textId="77777777" w:rsidR="00ED5D29" w:rsidRPr="00206EC6" w:rsidRDefault="00ED5D29" w:rsidP="00085904">
            <w:pPr>
              <w:jc w:val="both"/>
            </w:pPr>
            <w:r w:rsidRPr="00206EC6">
              <w:t>-bunuri şi servicii</w:t>
            </w:r>
          </w:p>
          <w:p w14:paraId="1415B230" w14:textId="77777777" w:rsidR="0025682E" w:rsidRPr="00206EC6" w:rsidRDefault="0025682E" w:rsidP="00085904">
            <w:pPr>
              <w:jc w:val="both"/>
            </w:pPr>
          </w:p>
        </w:tc>
        <w:tc>
          <w:tcPr>
            <w:tcW w:w="1080" w:type="dxa"/>
          </w:tcPr>
          <w:p w14:paraId="354BA24A" w14:textId="77777777" w:rsidR="00ED5D29" w:rsidRPr="00206EC6" w:rsidRDefault="00ED5D29" w:rsidP="00A84D54">
            <w:pPr>
              <w:jc w:val="both"/>
            </w:pPr>
            <w:r w:rsidRPr="00206EC6">
              <w:t>0</w:t>
            </w:r>
          </w:p>
          <w:p w14:paraId="7BB1C451" w14:textId="77777777" w:rsidR="00ED5D29" w:rsidRPr="00206EC6" w:rsidRDefault="00ED5D29" w:rsidP="006A5A1B">
            <w:pPr>
              <w:jc w:val="both"/>
            </w:pPr>
          </w:p>
        </w:tc>
        <w:tc>
          <w:tcPr>
            <w:tcW w:w="900" w:type="dxa"/>
          </w:tcPr>
          <w:p w14:paraId="44C5A3FF" w14:textId="57ABCAA9" w:rsidR="00ED5D29" w:rsidRPr="00206EC6" w:rsidRDefault="00ED5D29" w:rsidP="006A5A1B">
            <w:r w:rsidRPr="00206EC6">
              <w:t>0</w:t>
            </w:r>
          </w:p>
        </w:tc>
        <w:tc>
          <w:tcPr>
            <w:tcW w:w="1080" w:type="dxa"/>
          </w:tcPr>
          <w:p w14:paraId="1702DFD2" w14:textId="039177DE" w:rsidR="00ED5D29" w:rsidRPr="00206EC6" w:rsidRDefault="00ED5D29" w:rsidP="006A5A1B">
            <w:r w:rsidRPr="00206EC6">
              <w:t>0</w:t>
            </w:r>
          </w:p>
        </w:tc>
        <w:tc>
          <w:tcPr>
            <w:tcW w:w="1080" w:type="dxa"/>
          </w:tcPr>
          <w:p w14:paraId="1D7B38D6" w14:textId="297C61C9" w:rsidR="00ED5D29" w:rsidRPr="00206EC6" w:rsidRDefault="007D5B0F" w:rsidP="006A5A1B">
            <w:r w:rsidRPr="00206EC6">
              <w:t>0</w:t>
            </w:r>
          </w:p>
        </w:tc>
        <w:tc>
          <w:tcPr>
            <w:tcW w:w="1260" w:type="dxa"/>
          </w:tcPr>
          <w:p w14:paraId="09F7CD9E" w14:textId="23C02680" w:rsidR="00ED5D29" w:rsidRPr="00206EC6" w:rsidRDefault="007D5B0F" w:rsidP="006A5A1B">
            <w:r w:rsidRPr="00206EC6">
              <w:t>0</w:t>
            </w:r>
          </w:p>
        </w:tc>
        <w:tc>
          <w:tcPr>
            <w:tcW w:w="1980" w:type="dxa"/>
          </w:tcPr>
          <w:p w14:paraId="16493B27" w14:textId="1D91C51C" w:rsidR="00ED5D29" w:rsidRPr="00206EC6" w:rsidRDefault="007D5B0F" w:rsidP="006A5A1B">
            <w:r w:rsidRPr="00206EC6">
              <w:t>0</w:t>
            </w:r>
          </w:p>
        </w:tc>
      </w:tr>
      <w:tr w:rsidR="00206EC6" w:rsidRPr="00206EC6" w14:paraId="260B3CE9" w14:textId="77777777" w:rsidTr="006A5A1B">
        <w:tc>
          <w:tcPr>
            <w:tcW w:w="2880" w:type="dxa"/>
          </w:tcPr>
          <w:p w14:paraId="49D40F1D" w14:textId="77777777" w:rsidR="00ED5D29" w:rsidRPr="00206EC6" w:rsidRDefault="00ED5D29" w:rsidP="00085904">
            <w:pPr>
              <w:jc w:val="both"/>
            </w:pPr>
            <w:r w:rsidRPr="00206EC6">
              <w:t>3.Impact financiar, plus/minus, din care:</w:t>
            </w:r>
          </w:p>
          <w:p w14:paraId="67549603" w14:textId="77777777" w:rsidR="00ED5D29" w:rsidRPr="00206EC6" w:rsidRDefault="00ED5D29" w:rsidP="00085904">
            <w:pPr>
              <w:jc w:val="both"/>
            </w:pPr>
            <w:r w:rsidRPr="00206EC6">
              <w:t>a) buget de stat</w:t>
            </w:r>
          </w:p>
          <w:p w14:paraId="5AA46BA0" w14:textId="77777777" w:rsidR="00ED5D29" w:rsidRDefault="00ED5D29" w:rsidP="00085904">
            <w:pPr>
              <w:jc w:val="both"/>
            </w:pPr>
            <w:r w:rsidRPr="00206EC6">
              <w:t>b)bugete locale</w:t>
            </w:r>
          </w:p>
          <w:p w14:paraId="330BE00F" w14:textId="0841AD5D" w:rsidR="004E6523" w:rsidRPr="00206EC6" w:rsidRDefault="004E6523" w:rsidP="00085904">
            <w:pPr>
              <w:jc w:val="both"/>
            </w:pPr>
          </w:p>
        </w:tc>
        <w:tc>
          <w:tcPr>
            <w:tcW w:w="7380" w:type="dxa"/>
            <w:gridSpan w:val="6"/>
            <w:vAlign w:val="center"/>
          </w:tcPr>
          <w:p w14:paraId="699F79A9" w14:textId="77777777" w:rsidR="00ED5D29" w:rsidRPr="00206EC6" w:rsidRDefault="00ED5D29" w:rsidP="006A5A1B">
            <w:r w:rsidRPr="00206EC6">
              <w:rPr>
                <w:noProof/>
              </w:rPr>
              <w:t>Proiectul de act normativ nu se referă la acest subiect.</w:t>
            </w:r>
          </w:p>
        </w:tc>
      </w:tr>
      <w:tr w:rsidR="00206EC6" w:rsidRPr="00206EC6" w14:paraId="675CE50B" w14:textId="77777777" w:rsidTr="006A5A1B">
        <w:tc>
          <w:tcPr>
            <w:tcW w:w="2880" w:type="dxa"/>
          </w:tcPr>
          <w:p w14:paraId="182C7B6E" w14:textId="77777777" w:rsidR="00ED5D29" w:rsidRPr="00206EC6" w:rsidRDefault="00ED5D29" w:rsidP="006A5A1B">
            <w:r w:rsidRPr="00206EC6">
              <w:t xml:space="preserve">4. Propuneri pentru </w:t>
            </w:r>
          </w:p>
          <w:p w14:paraId="693A51F6" w14:textId="77777777" w:rsidR="00ED5D29" w:rsidRDefault="00ED5D29" w:rsidP="006A5A1B">
            <w:r w:rsidRPr="00206EC6">
              <w:t>acoperirea creşterilor de cheltuieli</w:t>
            </w:r>
          </w:p>
          <w:p w14:paraId="7D87FB0E" w14:textId="6E4BB3B6" w:rsidR="004E6523" w:rsidRPr="00206EC6" w:rsidRDefault="004E6523" w:rsidP="006A5A1B"/>
        </w:tc>
        <w:tc>
          <w:tcPr>
            <w:tcW w:w="7380" w:type="dxa"/>
            <w:gridSpan w:val="6"/>
            <w:vAlign w:val="center"/>
          </w:tcPr>
          <w:p w14:paraId="64B74EF4" w14:textId="77777777" w:rsidR="00ED5D29" w:rsidRPr="00206EC6" w:rsidRDefault="00ED5D29" w:rsidP="006A5A1B">
            <w:pPr>
              <w:rPr>
                <w:noProof/>
              </w:rPr>
            </w:pPr>
            <w:r w:rsidRPr="00206EC6">
              <w:rPr>
                <w:noProof/>
              </w:rPr>
              <w:t>Proiectul de act normativ nu se referă la acest subiect.</w:t>
            </w:r>
          </w:p>
        </w:tc>
      </w:tr>
      <w:tr w:rsidR="00206EC6" w:rsidRPr="00206EC6" w14:paraId="0436F908" w14:textId="77777777" w:rsidTr="006A5A1B">
        <w:tc>
          <w:tcPr>
            <w:tcW w:w="2880" w:type="dxa"/>
          </w:tcPr>
          <w:p w14:paraId="7EEF5158" w14:textId="77777777" w:rsidR="00ED5D29" w:rsidRDefault="00ED5D29" w:rsidP="006A5A1B">
            <w:r w:rsidRPr="00206EC6">
              <w:t>5. Propuneri pentru acoperirea scăderilor  de venituri</w:t>
            </w:r>
          </w:p>
          <w:p w14:paraId="71CBC13E" w14:textId="7D674C84" w:rsidR="004E6523" w:rsidRPr="00206EC6" w:rsidRDefault="004E6523" w:rsidP="006A5A1B"/>
        </w:tc>
        <w:tc>
          <w:tcPr>
            <w:tcW w:w="7380" w:type="dxa"/>
            <w:gridSpan w:val="6"/>
            <w:vAlign w:val="center"/>
          </w:tcPr>
          <w:p w14:paraId="30C15718"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47075FD6" w14:textId="77777777" w:rsidTr="006A5A1B">
        <w:tc>
          <w:tcPr>
            <w:tcW w:w="2880" w:type="dxa"/>
          </w:tcPr>
          <w:p w14:paraId="1F89E5CD" w14:textId="77777777" w:rsidR="0025682E" w:rsidRDefault="00ED5D29" w:rsidP="006A5A1B">
            <w:r w:rsidRPr="00206EC6">
              <w:t>6. Calcule detaliate privind fundamentarea modificărilor  veniturilor şi/sau cheltuielilor bugetare</w:t>
            </w:r>
          </w:p>
          <w:p w14:paraId="4BFC5C0E" w14:textId="3E10A4AA" w:rsidR="004E6523" w:rsidRPr="00206EC6" w:rsidRDefault="004E6523" w:rsidP="006A5A1B"/>
        </w:tc>
        <w:tc>
          <w:tcPr>
            <w:tcW w:w="7380" w:type="dxa"/>
            <w:gridSpan w:val="6"/>
            <w:vAlign w:val="center"/>
          </w:tcPr>
          <w:p w14:paraId="2B646F1C"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134CE0E5" w14:textId="77777777" w:rsidTr="006A5A1B">
        <w:tc>
          <w:tcPr>
            <w:tcW w:w="2880" w:type="dxa"/>
          </w:tcPr>
          <w:p w14:paraId="00F46658" w14:textId="77777777" w:rsidR="00ED5D29" w:rsidRPr="00206EC6" w:rsidRDefault="00ED5D29" w:rsidP="006A5A1B">
            <w:r w:rsidRPr="00206EC6">
              <w:t>7. Alte informaţii</w:t>
            </w:r>
          </w:p>
        </w:tc>
        <w:tc>
          <w:tcPr>
            <w:tcW w:w="7380" w:type="dxa"/>
            <w:gridSpan w:val="6"/>
          </w:tcPr>
          <w:p w14:paraId="3B06EA07" w14:textId="4A304A08" w:rsidR="00EA4C5B" w:rsidRPr="00206EC6" w:rsidRDefault="00391E9D" w:rsidP="00391E9D">
            <w:pPr>
              <w:spacing w:before="120" w:after="120"/>
              <w:jc w:val="both"/>
            </w:pPr>
            <w:r w:rsidRPr="00706549">
              <w:t>Pentru toate proiectele, suma ce ar urmă să fie susținută prin alocarea unor fonduri de la bugetul de stat se ridică la maxim 146.984.580,81 lei, sumă ce ar urma să fie defalcată pe ani până la finalizarea per</w:t>
            </w:r>
            <w:r w:rsidR="00AC61AE">
              <w:t>io</w:t>
            </w:r>
            <w:r w:rsidRPr="00706549">
              <w:t>adei de implementare. De asemenea, mai adăugăm că, la acest moment nu se poate estima impactul asupra bugetului de stat pentru fiecare din</w:t>
            </w:r>
            <w:r w:rsidR="00AC61AE">
              <w:t>tre</w:t>
            </w:r>
            <w:r w:rsidRPr="00706549">
              <w:t xml:space="preserve"> anii de implementare ținând cont de faptul că proiectele ce urmează a beneficia de aceste prevederi se implement</w:t>
            </w:r>
            <w:r w:rsidR="00AC61AE">
              <w:t>ează</w:t>
            </w:r>
            <w:r w:rsidRPr="00706549">
              <w:t xml:space="preserve"> în ritmuri diferite, ținând cont de contextul economic și social general și de condițiile particulare ale regiunii în care se vor implementa. Astfel contribuția aferentă bugetului </w:t>
            </w:r>
            <w:r w:rsidRPr="00706549">
              <w:lastRenderedPageBreak/>
              <w:t>de stat ar urma să fie angajată în funcție de ritmul implementării și de progresul financiar al proiectelor. Totodată menționăm că aceste proiecte pot face obiectul procesului de fazare urmând ca angajarea resurselor financiare aferente să acopere inclusiv următoarea perioadă de programare, respectiv 2021-2027.</w:t>
            </w:r>
          </w:p>
        </w:tc>
      </w:tr>
    </w:tbl>
    <w:p w14:paraId="5DB61E0B" w14:textId="486264A7" w:rsidR="00EA4C5B" w:rsidRDefault="00670C79" w:rsidP="00BC3A11">
      <w:pPr>
        <w:jc w:val="both"/>
        <w:rPr>
          <w:b/>
        </w:rPr>
      </w:pPr>
      <w:r w:rsidRPr="00206EC6">
        <w:rPr>
          <w:b/>
        </w:rPr>
        <w:lastRenderedPageBreak/>
        <w:t xml:space="preserve">  </w:t>
      </w:r>
    </w:p>
    <w:p w14:paraId="66D28656" w14:textId="77777777" w:rsidR="00484392" w:rsidRDefault="00484392" w:rsidP="0068241E">
      <w:pPr>
        <w:ind w:left="720"/>
        <w:jc w:val="both"/>
        <w:rPr>
          <w:b/>
        </w:rPr>
      </w:pPr>
    </w:p>
    <w:p w14:paraId="7E1BCAF6" w14:textId="23E3D186" w:rsidR="00670C79" w:rsidRPr="00206EC6" w:rsidRDefault="00670C79" w:rsidP="0068241E">
      <w:pPr>
        <w:ind w:left="720"/>
        <w:jc w:val="both"/>
        <w:rPr>
          <w:b/>
        </w:rPr>
      </w:pPr>
      <w:r w:rsidRPr="00206EC6">
        <w:rPr>
          <w:b/>
        </w:rPr>
        <w:t>Secţiunea a 5-a - Efectele proiectului de act normativ asupra legislaţiei în vigoare</w:t>
      </w:r>
    </w:p>
    <w:p w14:paraId="21BBF90B" w14:textId="77777777" w:rsidR="001F733F" w:rsidRPr="00206EC6" w:rsidRDefault="001F733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327176B4" w14:textId="77777777" w:rsidTr="00527866">
        <w:trPr>
          <w:trHeight w:val="561"/>
        </w:trPr>
        <w:tc>
          <w:tcPr>
            <w:tcW w:w="5040" w:type="dxa"/>
          </w:tcPr>
          <w:p w14:paraId="0B464A83" w14:textId="77777777" w:rsidR="00670C79" w:rsidRPr="00206EC6" w:rsidRDefault="00670C79" w:rsidP="006A5A1B">
            <w:pPr>
              <w:jc w:val="both"/>
            </w:pPr>
            <w:r w:rsidRPr="00206EC6">
              <w:t>1.Măsuri normative necesare pentru aplicarea prevederilor proiectului de act normativ:</w:t>
            </w:r>
          </w:p>
          <w:p w14:paraId="22A542E8" w14:textId="77777777" w:rsidR="00670C79" w:rsidRPr="00206EC6" w:rsidRDefault="00670C79" w:rsidP="00085904">
            <w:pPr>
              <w:jc w:val="both"/>
            </w:pPr>
            <w:r w:rsidRPr="00206EC6">
              <w:t>a) acte normative în vigoare ce vor fi modificate sau abrogate, ca urmare a intrării în vigoare a proiectului de act normativ;</w:t>
            </w:r>
          </w:p>
          <w:p w14:paraId="3904846A" w14:textId="77777777" w:rsidR="00527866" w:rsidRPr="00206EC6" w:rsidRDefault="00670C79" w:rsidP="00085904">
            <w:pPr>
              <w:jc w:val="both"/>
            </w:pPr>
            <w:r w:rsidRPr="00206EC6">
              <w:t>b) acte normative ce urmează a fi elaborate în vederea implementării noilor dispoziţii.</w:t>
            </w:r>
          </w:p>
          <w:p w14:paraId="7D58B0F1" w14:textId="77777777" w:rsidR="00670C79" w:rsidRPr="00206EC6" w:rsidRDefault="00670C79" w:rsidP="00527866"/>
        </w:tc>
        <w:tc>
          <w:tcPr>
            <w:tcW w:w="5220" w:type="dxa"/>
          </w:tcPr>
          <w:p w14:paraId="7C430706" w14:textId="0DB8A3DA" w:rsidR="0025682E" w:rsidRPr="00206EC6" w:rsidRDefault="006D37D0" w:rsidP="008A5164">
            <w:pPr>
              <w:pStyle w:val="ListParagraph"/>
              <w:tabs>
                <w:tab w:val="left" w:pos="201"/>
              </w:tabs>
              <w:ind w:left="59"/>
              <w:jc w:val="both"/>
              <w:rPr>
                <w:rFonts w:ascii="Times New Roman" w:hAnsi="Times New Roman" w:cs="Times New Roman"/>
              </w:rPr>
            </w:pPr>
            <w:r w:rsidRPr="00206EC6">
              <w:rPr>
                <w:rFonts w:ascii="Times New Roman" w:hAnsi="Times New Roman" w:cs="Times New Roman"/>
              </w:rPr>
              <w:t xml:space="preserve">Proiectul de act </w:t>
            </w:r>
            <w:r w:rsidR="008A5164">
              <w:rPr>
                <w:rFonts w:ascii="Times New Roman" w:hAnsi="Times New Roman" w:cs="Times New Roman"/>
              </w:rPr>
              <w:t xml:space="preserve">creează temeiul emiterii de către  </w:t>
            </w:r>
            <w:r w:rsidR="008A5164" w:rsidRPr="008A5164">
              <w:rPr>
                <w:rFonts w:ascii="Times New Roman" w:hAnsi="Times New Roman" w:cs="Times New Roman"/>
              </w:rPr>
              <w:t>Autorit</w:t>
            </w:r>
            <w:r w:rsidR="008A5164">
              <w:rPr>
                <w:rFonts w:ascii="Times New Roman" w:hAnsi="Times New Roman" w:cs="Times New Roman"/>
              </w:rPr>
              <w:t>atea</w:t>
            </w:r>
            <w:r w:rsidR="008A5164" w:rsidRPr="008A5164">
              <w:rPr>
                <w:rFonts w:ascii="Times New Roman" w:hAnsi="Times New Roman" w:cs="Times New Roman"/>
              </w:rPr>
              <w:t xml:space="preserve"> Naţional</w:t>
            </w:r>
            <w:r w:rsidR="008A5164">
              <w:rPr>
                <w:rFonts w:ascii="Times New Roman" w:hAnsi="Times New Roman" w:cs="Times New Roman"/>
              </w:rPr>
              <w:t>ă</w:t>
            </w:r>
            <w:r w:rsidR="008A5164" w:rsidRPr="008A5164">
              <w:rPr>
                <w:rFonts w:ascii="Times New Roman" w:hAnsi="Times New Roman" w:cs="Times New Roman"/>
              </w:rPr>
              <w:t xml:space="preserve"> de Reglementare pentru Serviciile Comunitare de Utilităţi Publice</w:t>
            </w:r>
            <w:r w:rsidR="008A5164">
              <w:rPr>
                <w:rFonts w:ascii="Times New Roman" w:hAnsi="Times New Roman" w:cs="Times New Roman"/>
              </w:rPr>
              <w:t xml:space="preserve"> a ordinelor aferente înființării </w:t>
            </w:r>
            <w:r w:rsidR="008A5164" w:rsidRPr="008A5164">
              <w:rPr>
                <w:rFonts w:ascii="Times New Roman" w:hAnsi="Times New Roman" w:cs="Times New Roman"/>
              </w:rPr>
              <w:t>serviciului public inteligent alternativ pentru procesarea apelor uzate menajere</w:t>
            </w:r>
            <w:r w:rsidR="008A5164">
              <w:rPr>
                <w:rFonts w:ascii="Times New Roman" w:hAnsi="Times New Roman" w:cs="Times New Roman"/>
              </w:rPr>
              <w:t>.</w:t>
            </w:r>
          </w:p>
        </w:tc>
      </w:tr>
      <w:tr w:rsidR="00206EC6" w:rsidRPr="00206EC6" w14:paraId="457614B1" w14:textId="77777777" w:rsidTr="006A5A1B">
        <w:trPr>
          <w:trHeight w:val="636"/>
        </w:trPr>
        <w:tc>
          <w:tcPr>
            <w:tcW w:w="5040" w:type="dxa"/>
          </w:tcPr>
          <w:p w14:paraId="75B0704E" w14:textId="77777777" w:rsidR="00670C79"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1^1. Compatibilitatea proiectului de act normativ cu legislaţia în domeniul achiziţiilor publice</w:t>
            </w:r>
          </w:p>
          <w:p w14:paraId="45E3A53E" w14:textId="74E44ED0" w:rsidR="004E6523" w:rsidRPr="00206EC6" w:rsidRDefault="004E6523" w:rsidP="00085904">
            <w:pPr>
              <w:pStyle w:val="HTMLPreformatted"/>
              <w:shd w:val="clear" w:color="auto" w:fill="FFFFFF"/>
              <w:jc w:val="both"/>
              <w:rPr>
                <w:rFonts w:ascii="Times New Roman" w:hAnsi="Times New Roman" w:cs="Times New Roman"/>
                <w:sz w:val="24"/>
                <w:szCs w:val="24"/>
              </w:rPr>
            </w:pPr>
          </w:p>
        </w:tc>
        <w:tc>
          <w:tcPr>
            <w:tcW w:w="5220" w:type="dxa"/>
          </w:tcPr>
          <w:p w14:paraId="49470ACC" w14:textId="77777777" w:rsidR="00670C79" w:rsidRPr="00206EC6" w:rsidRDefault="00670C79" w:rsidP="006A5A1B">
            <w:pPr>
              <w:jc w:val="both"/>
            </w:pPr>
            <w:r w:rsidRPr="00206EC6">
              <w:t>Proiectul de act normativ nu se referă la acest subiect.</w:t>
            </w:r>
          </w:p>
        </w:tc>
      </w:tr>
      <w:tr w:rsidR="00206EC6" w:rsidRPr="00206EC6" w14:paraId="787E8B98" w14:textId="77777777" w:rsidTr="006A5A1B">
        <w:tc>
          <w:tcPr>
            <w:tcW w:w="5040" w:type="dxa"/>
          </w:tcPr>
          <w:p w14:paraId="16C3A4F3" w14:textId="77777777" w:rsidR="006678B1" w:rsidRDefault="00670C79" w:rsidP="006A5A1B">
            <w:pPr>
              <w:jc w:val="both"/>
            </w:pPr>
            <w:r w:rsidRPr="00206EC6">
              <w:t>2. Conformitatea  proiectului de act normativ cu legislaţia comunitară în cazul proiectelor ce transpun prevederi comunitare</w:t>
            </w:r>
          </w:p>
          <w:p w14:paraId="5E04A94F" w14:textId="100B2629" w:rsidR="004E6523" w:rsidRPr="00206EC6" w:rsidRDefault="004E6523" w:rsidP="006A5A1B">
            <w:pPr>
              <w:jc w:val="both"/>
            </w:pPr>
          </w:p>
        </w:tc>
        <w:tc>
          <w:tcPr>
            <w:tcW w:w="5220" w:type="dxa"/>
            <w:vAlign w:val="center"/>
          </w:tcPr>
          <w:p w14:paraId="73E021D3" w14:textId="77777777" w:rsidR="00670C79" w:rsidRPr="00206EC6" w:rsidRDefault="00670C79" w:rsidP="006A5A1B">
            <w:pPr>
              <w:jc w:val="both"/>
            </w:pPr>
            <w:r w:rsidRPr="00206EC6">
              <w:t>Proiectul de act normativ nu se referă la acest subiect.</w:t>
            </w:r>
          </w:p>
        </w:tc>
      </w:tr>
      <w:tr w:rsidR="00206EC6" w:rsidRPr="00206EC6" w14:paraId="64CA1687" w14:textId="77777777" w:rsidTr="006A5A1B">
        <w:tc>
          <w:tcPr>
            <w:tcW w:w="5040" w:type="dxa"/>
          </w:tcPr>
          <w:p w14:paraId="3230AA89" w14:textId="77777777" w:rsidR="006678B1" w:rsidRDefault="00670C79" w:rsidP="00085904">
            <w:pPr>
              <w:jc w:val="both"/>
            </w:pPr>
            <w:r w:rsidRPr="00206EC6">
              <w:t>4. Hotărâri ale Curţii de Justiţie a Uniunii Europene</w:t>
            </w:r>
          </w:p>
          <w:p w14:paraId="29BE2E72" w14:textId="574FF9D8" w:rsidR="004E6523" w:rsidRPr="00206EC6" w:rsidRDefault="004E6523" w:rsidP="00085904">
            <w:pPr>
              <w:jc w:val="both"/>
            </w:pPr>
          </w:p>
        </w:tc>
        <w:tc>
          <w:tcPr>
            <w:tcW w:w="5220" w:type="dxa"/>
            <w:vAlign w:val="center"/>
          </w:tcPr>
          <w:p w14:paraId="0008985F" w14:textId="77777777" w:rsidR="00670C79" w:rsidRPr="00206EC6" w:rsidRDefault="00670C79" w:rsidP="006A5A1B">
            <w:pPr>
              <w:jc w:val="both"/>
            </w:pPr>
            <w:r w:rsidRPr="00206EC6">
              <w:t>Proiectul de act normativ nu se referă la acest subiect.</w:t>
            </w:r>
          </w:p>
        </w:tc>
      </w:tr>
      <w:tr w:rsidR="00206EC6" w:rsidRPr="00206EC6" w14:paraId="107AD4C3" w14:textId="77777777" w:rsidTr="006A5A1B">
        <w:tc>
          <w:tcPr>
            <w:tcW w:w="5040" w:type="dxa"/>
          </w:tcPr>
          <w:p w14:paraId="64F648B3" w14:textId="77777777" w:rsidR="00670C79" w:rsidRDefault="00670C79" w:rsidP="00085904">
            <w:pPr>
              <w:jc w:val="both"/>
            </w:pPr>
            <w:r w:rsidRPr="00206EC6">
              <w:t>5. Alte acte normative şi/sau documente internaţionale din care decurg angajamente</w:t>
            </w:r>
          </w:p>
          <w:p w14:paraId="37CF24B8" w14:textId="310697B2" w:rsidR="004E6523" w:rsidRPr="00206EC6" w:rsidRDefault="004E6523" w:rsidP="00085904">
            <w:pPr>
              <w:jc w:val="both"/>
            </w:pPr>
          </w:p>
        </w:tc>
        <w:tc>
          <w:tcPr>
            <w:tcW w:w="5220" w:type="dxa"/>
            <w:vAlign w:val="center"/>
          </w:tcPr>
          <w:p w14:paraId="20C068A2" w14:textId="77777777" w:rsidR="00670C79" w:rsidRPr="00206EC6" w:rsidRDefault="00670C79" w:rsidP="006A5A1B">
            <w:pPr>
              <w:jc w:val="both"/>
            </w:pPr>
            <w:r w:rsidRPr="00206EC6">
              <w:t>Proiectul de act normativ nu se referă la acest subiect.</w:t>
            </w:r>
          </w:p>
        </w:tc>
      </w:tr>
      <w:tr w:rsidR="00670C79" w:rsidRPr="00206EC6" w14:paraId="56F5B91F" w14:textId="77777777" w:rsidTr="006A5A1B">
        <w:tc>
          <w:tcPr>
            <w:tcW w:w="5040" w:type="dxa"/>
          </w:tcPr>
          <w:p w14:paraId="54A4C0C0" w14:textId="77777777" w:rsidR="006678B1" w:rsidRDefault="00670C79" w:rsidP="00085904">
            <w:pPr>
              <w:jc w:val="both"/>
            </w:pPr>
            <w:r w:rsidRPr="00206EC6">
              <w:t>6.Alte informaţii</w:t>
            </w:r>
          </w:p>
          <w:p w14:paraId="5341025F" w14:textId="70C1C4B8" w:rsidR="004E6523" w:rsidRPr="00206EC6" w:rsidRDefault="004E6523" w:rsidP="00085904">
            <w:pPr>
              <w:jc w:val="both"/>
            </w:pPr>
          </w:p>
        </w:tc>
        <w:tc>
          <w:tcPr>
            <w:tcW w:w="5220" w:type="dxa"/>
            <w:vAlign w:val="center"/>
          </w:tcPr>
          <w:p w14:paraId="0004E5EF" w14:textId="77777777" w:rsidR="00670C79" w:rsidRPr="00206EC6" w:rsidRDefault="00670C79" w:rsidP="006A5A1B">
            <w:pPr>
              <w:jc w:val="both"/>
            </w:pPr>
            <w:r w:rsidRPr="00206EC6">
              <w:t>Nu au fost identificate.</w:t>
            </w:r>
          </w:p>
        </w:tc>
      </w:tr>
    </w:tbl>
    <w:p w14:paraId="2EAB6310" w14:textId="77777777" w:rsidR="00EA4C5B" w:rsidRDefault="00EA4C5B" w:rsidP="00706549">
      <w:pPr>
        <w:rPr>
          <w:b/>
        </w:rPr>
      </w:pPr>
    </w:p>
    <w:p w14:paraId="2077D433" w14:textId="58BC25B4" w:rsidR="00575BCE" w:rsidRPr="00206EC6" w:rsidRDefault="00670C79" w:rsidP="0068241E">
      <w:pPr>
        <w:jc w:val="center"/>
        <w:rPr>
          <w:b/>
        </w:rPr>
      </w:pPr>
      <w:r w:rsidRPr="00206EC6">
        <w:rPr>
          <w:b/>
        </w:rPr>
        <w:t>6. Consultările efectuate în vederea elaborării proiectului de act normativ</w:t>
      </w:r>
    </w:p>
    <w:p w14:paraId="434DEA32" w14:textId="77777777" w:rsidR="001F733F" w:rsidRPr="00206EC6" w:rsidRDefault="001F733F"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65D4A307" w14:textId="77777777" w:rsidTr="006A5A1B">
        <w:tc>
          <w:tcPr>
            <w:tcW w:w="5040" w:type="dxa"/>
          </w:tcPr>
          <w:p w14:paraId="0104D25B" w14:textId="77777777" w:rsidR="006678B1" w:rsidRDefault="00670C79" w:rsidP="006A5A1B">
            <w:pPr>
              <w:jc w:val="both"/>
            </w:pPr>
            <w:r w:rsidRPr="00206EC6">
              <w:t>1.Informaţii privind procesul de consultare cu organizaţii neguvernamentale, instituite de cercetare şi alte organisme implicate</w:t>
            </w:r>
          </w:p>
          <w:p w14:paraId="335CB085" w14:textId="4F8373F8" w:rsidR="004E6523" w:rsidRPr="00206EC6" w:rsidRDefault="004E6523" w:rsidP="006A5A1B">
            <w:pPr>
              <w:jc w:val="both"/>
            </w:pPr>
          </w:p>
        </w:tc>
        <w:tc>
          <w:tcPr>
            <w:tcW w:w="5220" w:type="dxa"/>
          </w:tcPr>
          <w:p w14:paraId="05ECBB28" w14:textId="77777777" w:rsidR="00670C79" w:rsidRPr="00206EC6" w:rsidRDefault="00670C79" w:rsidP="006A5A1B">
            <w:pPr>
              <w:jc w:val="both"/>
            </w:pPr>
            <w:r w:rsidRPr="00206EC6">
              <w:t xml:space="preserve"> </w:t>
            </w:r>
          </w:p>
        </w:tc>
      </w:tr>
      <w:tr w:rsidR="00206EC6" w:rsidRPr="00206EC6" w14:paraId="16D0661E" w14:textId="77777777" w:rsidTr="006A5A1B">
        <w:tc>
          <w:tcPr>
            <w:tcW w:w="5040" w:type="dxa"/>
          </w:tcPr>
          <w:p w14:paraId="69A2B35E" w14:textId="77777777" w:rsidR="00670C79" w:rsidRDefault="00670C79" w:rsidP="006A5A1B">
            <w:pPr>
              <w:jc w:val="both"/>
            </w:pPr>
            <w:r w:rsidRPr="00206EC6">
              <w:t>2.Fundamentarea alegerii organizaţiilor cu care a avut loc consultarea, precum şi a modului în care activitatea acestor organizaţii este legată de obiectivul proiectului de act normativ</w:t>
            </w:r>
          </w:p>
          <w:p w14:paraId="297F37E9" w14:textId="2AD28771" w:rsidR="006678B1" w:rsidRPr="00206EC6" w:rsidRDefault="006678B1" w:rsidP="006A5A1B">
            <w:pPr>
              <w:jc w:val="both"/>
            </w:pPr>
          </w:p>
        </w:tc>
        <w:tc>
          <w:tcPr>
            <w:tcW w:w="5220" w:type="dxa"/>
            <w:vAlign w:val="center"/>
          </w:tcPr>
          <w:p w14:paraId="10909C7F" w14:textId="77777777" w:rsidR="00670C79" w:rsidRPr="00206EC6" w:rsidRDefault="00670C79" w:rsidP="002E3AFC">
            <w:pPr>
              <w:spacing w:line="360" w:lineRule="auto"/>
              <w:jc w:val="both"/>
            </w:pPr>
            <w:r w:rsidRPr="00206EC6">
              <w:t>Proiectul de act normativ nu se referă la acest subiect.</w:t>
            </w:r>
          </w:p>
        </w:tc>
      </w:tr>
      <w:tr w:rsidR="00206EC6" w:rsidRPr="00206EC6" w14:paraId="19A2A59D" w14:textId="77777777" w:rsidTr="006A5A1B">
        <w:tc>
          <w:tcPr>
            <w:tcW w:w="5040" w:type="dxa"/>
          </w:tcPr>
          <w:p w14:paraId="0A458052" w14:textId="77777777" w:rsidR="006678B1" w:rsidRDefault="00670C79" w:rsidP="006A5A1B">
            <w:pPr>
              <w:jc w:val="both"/>
            </w:pPr>
            <w:r w:rsidRPr="00206EC6">
              <w:t xml:space="preserve">3.Consultările organizate cu autorităţile administraţiei publice locale, în situaţia în care proiectul de act normativ are ca obiect activităţi ale acestor autorităţi, în condiţiile Hotărârii Guvernului nr. 521/2005 privind procedura de </w:t>
            </w:r>
            <w:r w:rsidRPr="00206EC6">
              <w:lastRenderedPageBreak/>
              <w:t>consultare a structurilor asociative ale autorităţilor administraţiei publice locale la elaborarea proiectelor de acte normative</w:t>
            </w:r>
          </w:p>
          <w:p w14:paraId="53EA464B" w14:textId="1659B370" w:rsidR="004E6523" w:rsidRPr="00206EC6" w:rsidRDefault="004E6523" w:rsidP="006A5A1B">
            <w:pPr>
              <w:jc w:val="both"/>
            </w:pPr>
          </w:p>
        </w:tc>
        <w:tc>
          <w:tcPr>
            <w:tcW w:w="5220" w:type="dxa"/>
            <w:vAlign w:val="center"/>
          </w:tcPr>
          <w:p w14:paraId="5D978A54" w14:textId="10AFBB9F" w:rsidR="00670C79" w:rsidRPr="00206EC6" w:rsidRDefault="00275947" w:rsidP="006A5A1B">
            <w:pPr>
              <w:jc w:val="both"/>
            </w:pPr>
            <w:r w:rsidRPr="00206EC6">
              <w:lastRenderedPageBreak/>
              <w:t xml:space="preserve">Având în vedere prevederile Hotărârii Guvernului nr. 521/2005 privind procedura de consultare a structurilor asociative ale autorităţilor administraţiei publice locale la elaborarea proiectelor de acte normative, cu modificările ulterioare, s-a procedat </w:t>
            </w:r>
            <w:r w:rsidRPr="00206EC6">
              <w:lastRenderedPageBreak/>
              <w:t>la consultarea structurilor asociative.</w:t>
            </w:r>
          </w:p>
        </w:tc>
      </w:tr>
      <w:tr w:rsidR="00206EC6" w:rsidRPr="00206EC6" w14:paraId="0D4EB37E" w14:textId="77777777" w:rsidTr="006A5A1B">
        <w:tc>
          <w:tcPr>
            <w:tcW w:w="5040" w:type="dxa"/>
          </w:tcPr>
          <w:p w14:paraId="7C7457D0" w14:textId="77777777" w:rsidR="006678B1" w:rsidRDefault="00670C79" w:rsidP="00E20EAD">
            <w:pPr>
              <w:jc w:val="both"/>
            </w:pPr>
            <w:r w:rsidRPr="00206EC6">
              <w:lastRenderedPageBreak/>
              <w:t>4.Consultările desfăşurate în cadrul consiliilor interministeriale, în conformitate cu prevederile Hotărârii Guvernului nr. 750/2005 privind constituirea consiliilor interministeriale permanente</w:t>
            </w:r>
          </w:p>
          <w:p w14:paraId="0FB83D7F" w14:textId="5F1D272A" w:rsidR="004E6523" w:rsidRPr="00206EC6" w:rsidRDefault="004E6523" w:rsidP="00E20EAD">
            <w:pPr>
              <w:jc w:val="both"/>
            </w:pPr>
          </w:p>
        </w:tc>
        <w:tc>
          <w:tcPr>
            <w:tcW w:w="5220" w:type="dxa"/>
            <w:vAlign w:val="center"/>
          </w:tcPr>
          <w:p w14:paraId="2A1BF33A" w14:textId="77777777" w:rsidR="00670C79" w:rsidRPr="00206EC6" w:rsidRDefault="00670C79" w:rsidP="006A5A1B">
            <w:pPr>
              <w:jc w:val="both"/>
            </w:pPr>
            <w:r w:rsidRPr="00206EC6">
              <w:t>Proiectul de act normativ nu se referă la acest subiect.</w:t>
            </w:r>
          </w:p>
        </w:tc>
      </w:tr>
      <w:tr w:rsidR="00206EC6" w:rsidRPr="00206EC6" w14:paraId="5B65EE0A" w14:textId="77777777" w:rsidTr="006A5A1B">
        <w:tc>
          <w:tcPr>
            <w:tcW w:w="5040" w:type="dxa"/>
          </w:tcPr>
          <w:p w14:paraId="1F489DD3" w14:textId="77777777" w:rsidR="00670C79" w:rsidRPr="00206EC6" w:rsidRDefault="00670C79" w:rsidP="006A5A1B">
            <w:r w:rsidRPr="00206EC6">
              <w:t>5.Informaţii privind avizarea de către:</w:t>
            </w:r>
          </w:p>
          <w:p w14:paraId="3FDB7235" w14:textId="77777777" w:rsidR="00670C79" w:rsidRPr="00206EC6" w:rsidRDefault="00670C79" w:rsidP="006A5A1B">
            <w:r w:rsidRPr="00206EC6">
              <w:t>a) Consiliul legislativ</w:t>
            </w:r>
          </w:p>
          <w:p w14:paraId="60B92AD3" w14:textId="77777777" w:rsidR="00670C79" w:rsidRPr="00206EC6" w:rsidRDefault="00670C79" w:rsidP="006A5A1B">
            <w:r w:rsidRPr="00206EC6">
              <w:t>b)Consiliul Suprem de Apărare a Ţării</w:t>
            </w:r>
          </w:p>
          <w:p w14:paraId="3AACDD1C" w14:textId="77777777" w:rsidR="00670C79" w:rsidRPr="00206EC6" w:rsidRDefault="00670C79" w:rsidP="006A5A1B">
            <w:r w:rsidRPr="00206EC6">
              <w:t>c)Consiliul Economic şi Social</w:t>
            </w:r>
          </w:p>
          <w:p w14:paraId="14AB49B3" w14:textId="77777777" w:rsidR="00670C79" w:rsidRPr="00206EC6" w:rsidRDefault="00670C79" w:rsidP="006A5A1B">
            <w:r w:rsidRPr="00206EC6">
              <w:t xml:space="preserve">d)Consiliul Concurenţei </w:t>
            </w:r>
          </w:p>
          <w:p w14:paraId="0820D302" w14:textId="77777777" w:rsidR="006678B1" w:rsidRDefault="00670C79" w:rsidP="006A5A1B">
            <w:r w:rsidRPr="00206EC6">
              <w:t>e)Curtea de Conturi</w:t>
            </w:r>
          </w:p>
          <w:p w14:paraId="0A37194B" w14:textId="275878D9" w:rsidR="004E6523" w:rsidRPr="00206EC6" w:rsidRDefault="004E6523" w:rsidP="006A5A1B"/>
        </w:tc>
        <w:tc>
          <w:tcPr>
            <w:tcW w:w="5220" w:type="dxa"/>
            <w:vAlign w:val="center"/>
          </w:tcPr>
          <w:p w14:paraId="7ED20DBC" w14:textId="5CC75B2C" w:rsidR="00670C79" w:rsidRPr="00206EC6" w:rsidRDefault="00B273C6" w:rsidP="000C3494">
            <w:pPr>
              <w:spacing w:line="276" w:lineRule="auto"/>
              <w:jc w:val="both"/>
            </w:pPr>
            <w:r>
              <w:t>Pentru p</w:t>
            </w:r>
            <w:r w:rsidR="004B13DF" w:rsidRPr="00206EC6">
              <w:t xml:space="preserve">rezentul proiect de act normativ </w:t>
            </w:r>
            <w:r>
              <w:t>se solicită</w:t>
            </w:r>
            <w:r w:rsidR="004B13DF" w:rsidRPr="00206EC6">
              <w:t xml:space="preserve"> aviz</w:t>
            </w:r>
            <w:r>
              <w:t>ul</w:t>
            </w:r>
            <w:r w:rsidR="004B13DF" w:rsidRPr="00206EC6">
              <w:t xml:space="preserve"> Consiliului Legislativ</w:t>
            </w:r>
            <w:r w:rsidR="00402B32">
              <w:t xml:space="preserve">, </w:t>
            </w:r>
            <w:r>
              <w:t xml:space="preserve">al </w:t>
            </w:r>
            <w:r w:rsidR="00402B32">
              <w:t>Consiliului Concurenței, Curții de Conturi și Autorității de Audit din cadrul Curții de Conturi.</w:t>
            </w:r>
          </w:p>
        </w:tc>
      </w:tr>
      <w:tr w:rsidR="006449AD" w:rsidRPr="00206EC6" w14:paraId="4938D81B" w14:textId="77777777" w:rsidTr="006A5A1B">
        <w:tc>
          <w:tcPr>
            <w:tcW w:w="5040" w:type="dxa"/>
          </w:tcPr>
          <w:p w14:paraId="7069E280" w14:textId="77777777" w:rsidR="00670C79" w:rsidRPr="00206EC6" w:rsidRDefault="00670C79" w:rsidP="006A5A1B">
            <w:r w:rsidRPr="00206EC6">
              <w:t>6.Alte informaţii</w:t>
            </w:r>
          </w:p>
        </w:tc>
        <w:tc>
          <w:tcPr>
            <w:tcW w:w="5220" w:type="dxa"/>
            <w:vAlign w:val="center"/>
          </w:tcPr>
          <w:p w14:paraId="292345C8" w14:textId="2266CCB1" w:rsidR="00EA4C5B" w:rsidRPr="00206EC6" w:rsidRDefault="00670C79" w:rsidP="006A5A1B">
            <w:pPr>
              <w:spacing w:line="360" w:lineRule="auto"/>
              <w:jc w:val="both"/>
            </w:pPr>
            <w:r w:rsidRPr="00206EC6">
              <w:t>Nu au fost identificate.</w:t>
            </w:r>
          </w:p>
        </w:tc>
      </w:tr>
    </w:tbl>
    <w:p w14:paraId="5F0B71B7" w14:textId="77777777" w:rsidR="00B9245A" w:rsidRDefault="00B9245A" w:rsidP="004E6523">
      <w:pPr>
        <w:pStyle w:val="BodyTextIndent2"/>
        <w:spacing w:line="240" w:lineRule="auto"/>
        <w:ind w:right="98" w:firstLine="0"/>
        <w:jc w:val="both"/>
        <w:rPr>
          <w:bCs w:val="0"/>
          <w:sz w:val="24"/>
        </w:rPr>
      </w:pPr>
    </w:p>
    <w:p w14:paraId="24C76478" w14:textId="77777777" w:rsidR="00670C79" w:rsidRPr="00206EC6" w:rsidRDefault="00670C79" w:rsidP="0068241E">
      <w:pPr>
        <w:pStyle w:val="BodyTextIndent2"/>
        <w:spacing w:line="240" w:lineRule="auto"/>
        <w:ind w:left="720" w:right="98" w:firstLine="0"/>
        <w:jc w:val="both"/>
        <w:rPr>
          <w:bCs w:val="0"/>
          <w:sz w:val="24"/>
        </w:rPr>
      </w:pPr>
      <w:r w:rsidRPr="00206EC6">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732E424B" w14:textId="77777777" w:rsidTr="00E20EAD">
        <w:tc>
          <w:tcPr>
            <w:tcW w:w="3931" w:type="dxa"/>
          </w:tcPr>
          <w:p w14:paraId="10660F36" w14:textId="77777777" w:rsidR="00670C79" w:rsidRPr="00206EC6" w:rsidRDefault="00670C79" w:rsidP="00E20EAD">
            <w:pPr>
              <w:jc w:val="both"/>
            </w:pPr>
            <w:r w:rsidRPr="00206EC6">
              <w:t>1.Informarea societăţii civile cu privire la necesitatea elaborării proiectului de act normativ</w:t>
            </w:r>
          </w:p>
        </w:tc>
        <w:tc>
          <w:tcPr>
            <w:tcW w:w="6329" w:type="dxa"/>
          </w:tcPr>
          <w:p w14:paraId="7555B633" w14:textId="5D4BD013" w:rsidR="00670C79" w:rsidRDefault="006B075E" w:rsidP="002E3AFC">
            <w:pPr>
              <w:jc w:val="both"/>
            </w:pPr>
            <w:r w:rsidRPr="00206EC6">
              <w:t xml:space="preserve">Prezentul proiect de act normativ respectă prevederile art. 7 alin. (13) din Legea nr. 52/2003 privind transparența decizională în </w:t>
            </w:r>
            <w:r w:rsidRPr="00787CC4">
              <w:t>administrația publică, republicată, și a fost publicat în dezbatere publică pe pagina de internet a Ministerului</w:t>
            </w:r>
            <w:r w:rsidR="00454D72" w:rsidRPr="00787CC4">
              <w:t xml:space="preserve"> Fondurilor Europene la data de</w:t>
            </w:r>
            <w:r w:rsidR="000572B2">
              <w:t xml:space="preserve"> 11.10.2020</w:t>
            </w:r>
            <w:bookmarkStart w:id="0" w:name="_GoBack"/>
            <w:bookmarkEnd w:id="0"/>
            <w:r w:rsidR="00454D72" w:rsidRPr="00787CC4">
              <w:t>.</w:t>
            </w:r>
          </w:p>
          <w:p w14:paraId="36624643" w14:textId="23F7D290" w:rsidR="004E6523" w:rsidRPr="00206EC6" w:rsidRDefault="004E6523" w:rsidP="002E3AFC">
            <w:pPr>
              <w:jc w:val="both"/>
            </w:pPr>
          </w:p>
        </w:tc>
      </w:tr>
      <w:tr w:rsidR="00206EC6" w:rsidRPr="00206EC6" w14:paraId="585061CE" w14:textId="77777777" w:rsidTr="00E20EAD">
        <w:tc>
          <w:tcPr>
            <w:tcW w:w="3931" w:type="dxa"/>
          </w:tcPr>
          <w:p w14:paraId="5DC9DB88" w14:textId="77777777" w:rsidR="00670C79" w:rsidRDefault="00670C79" w:rsidP="00E20EAD">
            <w:pPr>
              <w:jc w:val="both"/>
            </w:pPr>
            <w:r w:rsidRPr="00206EC6">
              <w:t>2.Informarea societăţii civile cu privire la eventualul impact asupra mediului în urma implementării proiectului de act normativ, precum şi efectele asupra sănătăţii şi securităţii cetăţeanului sau diversităţii biologice</w:t>
            </w:r>
          </w:p>
          <w:p w14:paraId="50B21BCD" w14:textId="20F478C5" w:rsidR="004E6523" w:rsidRPr="00206EC6" w:rsidRDefault="004E6523" w:rsidP="00E20EAD">
            <w:pPr>
              <w:jc w:val="both"/>
            </w:pPr>
          </w:p>
        </w:tc>
        <w:tc>
          <w:tcPr>
            <w:tcW w:w="6329" w:type="dxa"/>
          </w:tcPr>
          <w:p w14:paraId="5BE15852" w14:textId="77777777" w:rsidR="00670C79" w:rsidRPr="00206EC6" w:rsidRDefault="00670C79" w:rsidP="006A5A1B">
            <w:pPr>
              <w:jc w:val="both"/>
            </w:pPr>
          </w:p>
          <w:p w14:paraId="6F061B40" w14:textId="77777777" w:rsidR="00670C79" w:rsidRPr="00206EC6" w:rsidRDefault="00670C79" w:rsidP="006A5A1B">
            <w:pPr>
              <w:jc w:val="both"/>
            </w:pPr>
            <w:r w:rsidRPr="00206EC6">
              <w:t>Proiectul de act normativ nu se referă la acest subiect.</w:t>
            </w:r>
          </w:p>
        </w:tc>
      </w:tr>
      <w:tr w:rsidR="00206EC6" w:rsidRPr="00206EC6" w14:paraId="6330D92F" w14:textId="77777777" w:rsidTr="00E20EAD">
        <w:tc>
          <w:tcPr>
            <w:tcW w:w="3931" w:type="dxa"/>
          </w:tcPr>
          <w:p w14:paraId="53F60A42" w14:textId="77777777" w:rsidR="00670C79" w:rsidRDefault="00670C79" w:rsidP="006A5A1B">
            <w:r w:rsidRPr="00206EC6">
              <w:t>3. Alte informaţii</w:t>
            </w:r>
          </w:p>
          <w:p w14:paraId="1EC509E8" w14:textId="3B6CB204" w:rsidR="004E6523" w:rsidRPr="00206EC6" w:rsidRDefault="004E6523" w:rsidP="006A5A1B"/>
        </w:tc>
        <w:tc>
          <w:tcPr>
            <w:tcW w:w="6329" w:type="dxa"/>
            <w:vAlign w:val="center"/>
          </w:tcPr>
          <w:p w14:paraId="0819DC9B" w14:textId="733523CC" w:rsidR="006678B1" w:rsidRPr="00206EC6" w:rsidRDefault="00670C79" w:rsidP="00FB1A1C">
            <w:pPr>
              <w:jc w:val="both"/>
            </w:pPr>
            <w:r w:rsidRPr="00206EC6">
              <w:t>Nu au fost identificate.</w:t>
            </w:r>
          </w:p>
        </w:tc>
      </w:tr>
    </w:tbl>
    <w:p w14:paraId="02E8511C" w14:textId="77777777" w:rsidR="0068241E" w:rsidRDefault="0068241E" w:rsidP="0068241E">
      <w:pPr>
        <w:ind w:left="720"/>
        <w:rPr>
          <w:b/>
        </w:rPr>
      </w:pPr>
    </w:p>
    <w:p w14:paraId="3FBCA191" w14:textId="48F1E4EE" w:rsidR="00670C79" w:rsidRPr="00206EC6" w:rsidRDefault="00670C79" w:rsidP="0068241E">
      <w:pPr>
        <w:ind w:left="720"/>
        <w:rPr>
          <w:b/>
        </w:rPr>
      </w:pPr>
      <w:r w:rsidRPr="00206EC6">
        <w:rPr>
          <w:b/>
        </w:rPr>
        <w:t>Secţiunea a 8- a. Măsuri de implementare</w:t>
      </w:r>
    </w:p>
    <w:p w14:paraId="0C7BFB09" w14:textId="77777777" w:rsidR="00575BCE" w:rsidRPr="00206EC6" w:rsidRDefault="00575BCE" w:rsidP="00670C79">
      <w:pPr>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5DF118D5" w14:textId="77777777" w:rsidTr="00E20EAD">
        <w:tc>
          <w:tcPr>
            <w:tcW w:w="3931" w:type="dxa"/>
          </w:tcPr>
          <w:p w14:paraId="0B5A4783" w14:textId="77777777" w:rsidR="00670C79" w:rsidRPr="00206EC6" w:rsidRDefault="00670C79" w:rsidP="006A5A1B">
            <w:pPr>
              <w:jc w:val="both"/>
            </w:pPr>
            <w:r w:rsidRPr="00206EC6">
              <w:t>1. Măsuri de punere în aplicare a proiectului de act normativ de către autorităţile administrative publice centrale şi/sau locale-înfiinţarea sau extinderea competenţei instituţiilor existente</w:t>
            </w:r>
          </w:p>
          <w:p w14:paraId="428F02E7" w14:textId="77777777" w:rsidR="00575BCE" w:rsidRPr="00206EC6" w:rsidRDefault="00575BCE" w:rsidP="006A5A1B">
            <w:pPr>
              <w:jc w:val="both"/>
            </w:pPr>
          </w:p>
        </w:tc>
        <w:tc>
          <w:tcPr>
            <w:tcW w:w="6329" w:type="dxa"/>
            <w:vAlign w:val="center"/>
          </w:tcPr>
          <w:p w14:paraId="036F3FD9" w14:textId="77777777" w:rsidR="00670C79" w:rsidRPr="00206EC6" w:rsidRDefault="00670C79" w:rsidP="006A5A1B">
            <w:pPr>
              <w:pStyle w:val="Heading1"/>
              <w:jc w:val="both"/>
              <w:rPr>
                <w:sz w:val="24"/>
              </w:rPr>
            </w:pPr>
            <w:r w:rsidRPr="00206EC6">
              <w:rPr>
                <w:sz w:val="24"/>
              </w:rPr>
              <w:t>Proiectul de act normativ nu se referă la acest subiect.</w:t>
            </w:r>
          </w:p>
        </w:tc>
      </w:tr>
      <w:tr w:rsidR="00206EC6" w:rsidRPr="00206EC6" w14:paraId="527F2573" w14:textId="77777777" w:rsidTr="00E20EAD">
        <w:tc>
          <w:tcPr>
            <w:tcW w:w="3931" w:type="dxa"/>
          </w:tcPr>
          <w:p w14:paraId="34092D57" w14:textId="77777777" w:rsidR="00670C79" w:rsidRDefault="00670C79" w:rsidP="006A5A1B">
            <w:pPr>
              <w:jc w:val="both"/>
            </w:pPr>
            <w:r w:rsidRPr="00206EC6">
              <w:t>2. Alte informaţii</w:t>
            </w:r>
          </w:p>
          <w:p w14:paraId="05529BA5" w14:textId="743BC533" w:rsidR="004E6523" w:rsidRPr="00206EC6" w:rsidRDefault="004E6523" w:rsidP="006A5A1B">
            <w:pPr>
              <w:jc w:val="both"/>
            </w:pPr>
          </w:p>
        </w:tc>
        <w:tc>
          <w:tcPr>
            <w:tcW w:w="6329" w:type="dxa"/>
            <w:vAlign w:val="center"/>
          </w:tcPr>
          <w:p w14:paraId="4D29AA82" w14:textId="55E9537F" w:rsidR="00575BCE" w:rsidRPr="00206EC6" w:rsidRDefault="00670C79" w:rsidP="006A5A1B">
            <w:pPr>
              <w:jc w:val="both"/>
            </w:pPr>
            <w:r w:rsidRPr="00206EC6">
              <w:lastRenderedPageBreak/>
              <w:t>Nu au fost identificate.</w:t>
            </w:r>
          </w:p>
        </w:tc>
      </w:tr>
    </w:tbl>
    <w:p w14:paraId="4DED13D5" w14:textId="77777777" w:rsidR="003B7EB8" w:rsidRDefault="003B7EB8" w:rsidP="00E07299">
      <w:pPr>
        <w:widowControl w:val="0"/>
        <w:spacing w:line="276" w:lineRule="auto"/>
        <w:jc w:val="both"/>
        <w:rPr>
          <w:sz w:val="12"/>
          <w:szCs w:val="12"/>
        </w:rPr>
      </w:pPr>
    </w:p>
    <w:p w14:paraId="1B1EAD6B" w14:textId="77777777" w:rsidR="003B7EB8" w:rsidRDefault="003B7EB8" w:rsidP="00E07299">
      <w:pPr>
        <w:widowControl w:val="0"/>
        <w:spacing w:line="276" w:lineRule="auto"/>
        <w:jc w:val="both"/>
        <w:rPr>
          <w:sz w:val="12"/>
          <w:szCs w:val="12"/>
        </w:rPr>
      </w:pPr>
    </w:p>
    <w:p w14:paraId="04ED1DF1" w14:textId="7900C4C1" w:rsidR="006B075E" w:rsidRPr="00206EC6" w:rsidRDefault="00670C79" w:rsidP="00B9245A">
      <w:pPr>
        <w:widowControl w:val="0"/>
        <w:spacing w:line="276" w:lineRule="auto"/>
        <w:ind w:left="360"/>
        <w:jc w:val="both"/>
      </w:pPr>
      <w:r w:rsidRPr="00206EC6">
        <w:t xml:space="preserve">Faţă de cele prezentate, a fost </w:t>
      </w:r>
      <w:r w:rsidR="00D23493">
        <w:t>elaborat</w:t>
      </w:r>
      <w:r w:rsidRPr="00206EC6">
        <w:t xml:space="preserve"> prezentul proiect </w:t>
      </w:r>
      <w:r w:rsidRPr="00A2306A">
        <w:rPr>
          <w:bCs/>
        </w:rPr>
        <w:t>de</w:t>
      </w:r>
      <w:r w:rsidR="004B5346" w:rsidRPr="00A2306A">
        <w:rPr>
          <w:bCs/>
        </w:rPr>
        <w:t xml:space="preserve"> </w:t>
      </w:r>
      <w:r w:rsidR="00B273C6" w:rsidRPr="00B273C6">
        <w:rPr>
          <w:b/>
        </w:rPr>
        <w:t xml:space="preserve">Ordonanță de urgență </w:t>
      </w:r>
      <w:r w:rsidR="00B273C6">
        <w:rPr>
          <w:b/>
        </w:rPr>
        <w:t xml:space="preserve">a Guvernului </w:t>
      </w:r>
      <w:r w:rsidR="00B273C6" w:rsidRPr="00B273C6">
        <w:rPr>
          <w:b/>
        </w:rPr>
        <w:t>pentru completarea alin. (2) al art. 1 din Legea serviciilor comunitare de utilităţi publice nr. 51/2006, precum și pentru aprobarea unor măsuri privind proiectele</w:t>
      </w:r>
      <w:r w:rsidR="00555A11">
        <w:rPr>
          <w:b/>
        </w:rPr>
        <w:t xml:space="preserve"> </w:t>
      </w:r>
      <w:r w:rsidR="00B273C6" w:rsidRPr="00B273C6">
        <w:rPr>
          <w:b/>
        </w:rPr>
        <w:t xml:space="preserve">de </w:t>
      </w:r>
      <w:r w:rsidR="00FB43FD">
        <w:rPr>
          <w:b/>
        </w:rPr>
        <w:t xml:space="preserve">mediu </w:t>
      </w:r>
      <w:r w:rsidR="00B273C6" w:rsidRPr="00B273C6">
        <w:rPr>
          <w:b/>
        </w:rPr>
        <w:t>cu finanțare din fonduri externe nerambursabile și pentru reglementarea serviciului public inteligent alternativ pentru procesarea apelor uzate menajere</w:t>
      </w:r>
      <w:r w:rsidR="00E07299" w:rsidRPr="00247BC8">
        <w:rPr>
          <w:b/>
        </w:rPr>
        <w:t>,</w:t>
      </w:r>
      <w:r w:rsidR="00E07299" w:rsidRPr="00247BC8">
        <w:t xml:space="preserve"> care</w:t>
      </w:r>
      <w:r w:rsidRPr="00247BC8">
        <w:t xml:space="preserve"> în forma prezentată, a fost avizat de </w:t>
      </w:r>
      <w:r w:rsidR="008752C0" w:rsidRPr="00247BC8">
        <w:t xml:space="preserve">Consiliul Legislativ, precum şi de către </w:t>
      </w:r>
      <w:r w:rsidRPr="00247BC8">
        <w:t>ministerele interesate şi pe care îl supunem adoptării.</w:t>
      </w:r>
    </w:p>
    <w:p w14:paraId="24062A20" w14:textId="77777777" w:rsidR="001F733F" w:rsidRDefault="001F733F" w:rsidP="00565752">
      <w:pPr>
        <w:jc w:val="both"/>
      </w:pPr>
    </w:p>
    <w:p w14:paraId="3D1B85BA" w14:textId="77777777" w:rsidR="006E2ED7" w:rsidRPr="00206EC6" w:rsidRDefault="006E2ED7" w:rsidP="00565752">
      <w:pPr>
        <w:jc w:val="both"/>
      </w:pPr>
    </w:p>
    <w:p w14:paraId="26ADEC36" w14:textId="77777777" w:rsidR="003179ED" w:rsidRPr="009D756F" w:rsidRDefault="003179ED" w:rsidP="008C17B0">
      <w:pPr>
        <w:rPr>
          <w:b/>
          <w:bCs/>
          <w:sz w:val="16"/>
          <w:szCs w:val="16"/>
        </w:rPr>
      </w:pPr>
    </w:p>
    <w:tbl>
      <w:tblPr>
        <w:tblW w:w="0" w:type="auto"/>
        <w:tblInd w:w="720" w:type="dxa"/>
        <w:tblLook w:val="04A0" w:firstRow="1" w:lastRow="0" w:firstColumn="1" w:lastColumn="0" w:noHBand="0" w:noVBand="1"/>
      </w:tblPr>
      <w:tblGrid>
        <w:gridCol w:w="4095"/>
        <w:gridCol w:w="1701"/>
        <w:gridCol w:w="4012"/>
      </w:tblGrid>
      <w:tr w:rsidR="008C17B0" w:rsidRPr="009D756F" w14:paraId="66A9CD2F" w14:textId="77777777" w:rsidTr="00ED18FB">
        <w:tc>
          <w:tcPr>
            <w:tcW w:w="4095" w:type="dxa"/>
            <w:shd w:val="clear" w:color="auto" w:fill="auto"/>
          </w:tcPr>
          <w:p w14:paraId="119E1184" w14:textId="77777777" w:rsidR="008C17B0" w:rsidRDefault="008C17B0" w:rsidP="00ED18FB">
            <w:pPr>
              <w:spacing w:after="240"/>
              <w:jc w:val="center"/>
              <w:rPr>
                <w:b/>
              </w:rPr>
            </w:pPr>
            <w:r w:rsidRPr="009D756F">
              <w:rPr>
                <w:b/>
              </w:rPr>
              <w:t xml:space="preserve">MINISTRUL LUCRĂRILOR PUBLICE, DEZVOLTĂRII ŞI ADMINISTRAȚIEI </w:t>
            </w:r>
          </w:p>
          <w:p w14:paraId="014F990E" w14:textId="77777777" w:rsidR="008C17B0" w:rsidRDefault="008C17B0" w:rsidP="00ED18FB">
            <w:pPr>
              <w:spacing w:after="240"/>
              <w:jc w:val="center"/>
              <w:rPr>
                <w:b/>
              </w:rPr>
            </w:pPr>
            <w:r w:rsidRPr="009D756F">
              <w:rPr>
                <w:b/>
              </w:rPr>
              <w:t>Ion ŞTEFAN</w:t>
            </w:r>
          </w:p>
          <w:p w14:paraId="65AF6B27" w14:textId="77777777" w:rsidR="008C17B0" w:rsidRDefault="008C17B0" w:rsidP="00ED18FB">
            <w:pPr>
              <w:spacing w:after="240"/>
              <w:jc w:val="center"/>
              <w:rPr>
                <w:b/>
              </w:rPr>
            </w:pPr>
          </w:p>
          <w:p w14:paraId="15AE926F" w14:textId="77777777" w:rsidR="008C17B0" w:rsidRPr="009D756F" w:rsidRDefault="008C17B0" w:rsidP="00ED18FB">
            <w:pPr>
              <w:spacing w:after="240"/>
              <w:jc w:val="center"/>
              <w:rPr>
                <w:b/>
              </w:rPr>
            </w:pPr>
          </w:p>
          <w:p w14:paraId="65347467" w14:textId="77777777" w:rsidR="008C17B0" w:rsidRPr="009D756F" w:rsidRDefault="008C17B0" w:rsidP="00ED18FB">
            <w:pPr>
              <w:spacing w:after="240"/>
              <w:jc w:val="center"/>
              <w:rPr>
                <w:b/>
              </w:rPr>
            </w:pPr>
            <w:r w:rsidRPr="009D756F">
              <w:rPr>
                <w:b/>
              </w:rPr>
              <w:t>MINISTRUL MEDIULUI, APELOR ȘI PĂDURILOR</w:t>
            </w:r>
          </w:p>
          <w:p w14:paraId="28628995" w14:textId="77777777" w:rsidR="008C17B0" w:rsidRPr="009D756F" w:rsidRDefault="008C17B0" w:rsidP="00ED18FB">
            <w:pPr>
              <w:spacing w:after="240"/>
              <w:jc w:val="center"/>
              <w:rPr>
                <w:b/>
              </w:rPr>
            </w:pPr>
            <w:r w:rsidRPr="009D756F">
              <w:rPr>
                <w:b/>
              </w:rPr>
              <w:t>Costel ALEXE</w:t>
            </w:r>
          </w:p>
          <w:p w14:paraId="6744DDC3" w14:textId="77777777" w:rsidR="008C17B0" w:rsidRDefault="008C17B0" w:rsidP="00ED18FB">
            <w:pPr>
              <w:spacing w:after="240"/>
              <w:jc w:val="center"/>
              <w:rPr>
                <w:b/>
              </w:rPr>
            </w:pPr>
          </w:p>
          <w:p w14:paraId="57FC6A5D" w14:textId="77777777" w:rsidR="008C17B0" w:rsidRPr="009D756F" w:rsidRDefault="008C17B0" w:rsidP="00ED18FB">
            <w:pPr>
              <w:spacing w:after="240"/>
              <w:jc w:val="center"/>
              <w:rPr>
                <w:b/>
              </w:rPr>
            </w:pPr>
          </w:p>
        </w:tc>
        <w:tc>
          <w:tcPr>
            <w:tcW w:w="1701" w:type="dxa"/>
            <w:shd w:val="clear" w:color="auto" w:fill="auto"/>
          </w:tcPr>
          <w:p w14:paraId="09895A8A" w14:textId="77777777" w:rsidR="008C17B0" w:rsidRPr="009D756F" w:rsidRDefault="008C17B0" w:rsidP="00ED18FB">
            <w:pPr>
              <w:spacing w:after="240"/>
              <w:jc w:val="center"/>
              <w:rPr>
                <w:b/>
              </w:rPr>
            </w:pPr>
          </w:p>
        </w:tc>
        <w:tc>
          <w:tcPr>
            <w:tcW w:w="4012" w:type="dxa"/>
            <w:shd w:val="clear" w:color="auto" w:fill="auto"/>
          </w:tcPr>
          <w:p w14:paraId="7563110F" w14:textId="3FA01E7C" w:rsidR="008C17B0" w:rsidRDefault="008C17B0" w:rsidP="00ED18FB">
            <w:pPr>
              <w:spacing w:after="240"/>
              <w:jc w:val="center"/>
              <w:rPr>
                <w:b/>
              </w:rPr>
            </w:pPr>
            <w:r>
              <w:rPr>
                <w:b/>
              </w:rPr>
              <w:t>MINISTRUL FONDURILOR EUROPENE</w:t>
            </w:r>
          </w:p>
          <w:p w14:paraId="2E230E14" w14:textId="03BA45D8" w:rsidR="008C17B0" w:rsidRPr="0034740A" w:rsidRDefault="0034740A" w:rsidP="0034740A">
            <w:pPr>
              <w:spacing w:after="240"/>
              <w:jc w:val="center"/>
              <w:rPr>
                <w:b/>
              </w:rPr>
            </w:pPr>
            <w:r w:rsidRPr="0034740A">
              <w:rPr>
                <w:b/>
              </w:rPr>
              <w:t>Ioan Marcel BOLOȘ</w:t>
            </w:r>
          </w:p>
          <w:p w14:paraId="1B317751" w14:textId="77777777" w:rsidR="008C17B0" w:rsidRDefault="008C17B0" w:rsidP="00ED18FB">
            <w:pPr>
              <w:spacing w:after="240"/>
              <w:jc w:val="center"/>
              <w:rPr>
                <w:b/>
              </w:rPr>
            </w:pPr>
          </w:p>
          <w:p w14:paraId="4439DC5C" w14:textId="77777777" w:rsidR="0034740A" w:rsidRDefault="0034740A" w:rsidP="00ED18FB">
            <w:pPr>
              <w:spacing w:after="240"/>
              <w:jc w:val="center"/>
              <w:rPr>
                <w:b/>
              </w:rPr>
            </w:pPr>
          </w:p>
          <w:p w14:paraId="7AC78418" w14:textId="77777777" w:rsidR="0034740A" w:rsidRDefault="0034740A" w:rsidP="00ED18FB">
            <w:pPr>
              <w:spacing w:after="240"/>
              <w:jc w:val="center"/>
              <w:rPr>
                <w:b/>
              </w:rPr>
            </w:pPr>
          </w:p>
          <w:p w14:paraId="0658E38A" w14:textId="77777777" w:rsidR="008C17B0" w:rsidRPr="008C17B0" w:rsidRDefault="008C17B0" w:rsidP="008C17B0">
            <w:pPr>
              <w:spacing w:after="240"/>
              <w:jc w:val="center"/>
              <w:rPr>
                <w:b/>
              </w:rPr>
            </w:pPr>
            <w:r w:rsidRPr="008C17B0">
              <w:rPr>
                <w:b/>
              </w:rPr>
              <w:t>PREȘEDINTELE AUTORITĂȚII NAȚIONALE DE REGLEMENTARE PENTRU SERVICIILE COMUNITARE DE UTILITĂȚI PUBLICE</w:t>
            </w:r>
          </w:p>
          <w:p w14:paraId="1B1DDD2F" w14:textId="77777777" w:rsidR="008C17B0" w:rsidRPr="008C17B0" w:rsidRDefault="008C17B0" w:rsidP="008C17B0">
            <w:pPr>
              <w:spacing w:after="240"/>
              <w:jc w:val="center"/>
              <w:rPr>
                <w:b/>
              </w:rPr>
            </w:pPr>
            <w:r w:rsidRPr="008C17B0">
              <w:rPr>
                <w:b/>
              </w:rPr>
              <w:t xml:space="preserve">Ionel TESCARU  </w:t>
            </w:r>
          </w:p>
          <w:p w14:paraId="53BB1FD6" w14:textId="77777777" w:rsidR="008C17B0" w:rsidRDefault="008C17B0" w:rsidP="00ED18FB">
            <w:pPr>
              <w:spacing w:after="240"/>
              <w:jc w:val="center"/>
              <w:rPr>
                <w:b/>
              </w:rPr>
            </w:pPr>
          </w:p>
          <w:p w14:paraId="4D057D6E" w14:textId="77777777" w:rsidR="008C17B0" w:rsidRPr="009D756F" w:rsidRDefault="008C17B0" w:rsidP="00ED18FB">
            <w:pPr>
              <w:spacing w:after="240"/>
              <w:jc w:val="center"/>
              <w:rPr>
                <w:b/>
              </w:rPr>
            </w:pPr>
          </w:p>
        </w:tc>
      </w:tr>
    </w:tbl>
    <w:p w14:paraId="33E5C64B" w14:textId="77777777" w:rsidR="001C6ACC" w:rsidRDefault="001C6ACC" w:rsidP="00756360">
      <w:pPr>
        <w:jc w:val="center"/>
        <w:rPr>
          <w:b/>
          <w:bCs/>
        </w:rPr>
      </w:pPr>
    </w:p>
    <w:p w14:paraId="63E5F31B" w14:textId="77777777" w:rsidR="006E2ED7" w:rsidRPr="006E21F5" w:rsidRDefault="006E2ED7" w:rsidP="00756360">
      <w:pPr>
        <w:jc w:val="center"/>
        <w:rPr>
          <w:b/>
          <w:bCs/>
          <w:sz w:val="12"/>
          <w:szCs w:val="12"/>
        </w:rPr>
      </w:pPr>
    </w:p>
    <w:p w14:paraId="307D9DBB" w14:textId="1A12E56D" w:rsidR="00247BC8" w:rsidRDefault="005D4F6E" w:rsidP="006678B1">
      <w:pPr>
        <w:spacing w:after="240"/>
        <w:ind w:left="720" w:hanging="720"/>
        <w:jc w:val="center"/>
        <w:rPr>
          <w:b/>
          <w:u w:val="single"/>
        </w:rPr>
      </w:pPr>
      <w:r w:rsidRPr="00206EC6">
        <w:rPr>
          <w:b/>
          <w:u w:val="single"/>
        </w:rPr>
        <w:t>AVIZĂM FAVORABIL:</w:t>
      </w:r>
    </w:p>
    <w:tbl>
      <w:tblPr>
        <w:tblW w:w="0" w:type="auto"/>
        <w:tblInd w:w="720" w:type="dxa"/>
        <w:tblLook w:val="04A0" w:firstRow="1" w:lastRow="0" w:firstColumn="1" w:lastColumn="0" w:noHBand="0" w:noVBand="1"/>
      </w:tblPr>
      <w:tblGrid>
        <w:gridCol w:w="4095"/>
        <w:gridCol w:w="1701"/>
        <w:gridCol w:w="4012"/>
      </w:tblGrid>
      <w:tr w:rsidR="006E21F5" w:rsidRPr="006E21F5" w14:paraId="0D74472A" w14:textId="77777777" w:rsidTr="006E21F5">
        <w:tc>
          <w:tcPr>
            <w:tcW w:w="4095" w:type="dxa"/>
            <w:shd w:val="clear" w:color="auto" w:fill="auto"/>
          </w:tcPr>
          <w:p w14:paraId="64382BD5" w14:textId="1FD36416" w:rsidR="000F0940" w:rsidRPr="009D756F" w:rsidRDefault="000F0940" w:rsidP="006E21F5">
            <w:pPr>
              <w:spacing w:after="240"/>
              <w:jc w:val="center"/>
              <w:rPr>
                <w:b/>
              </w:rPr>
            </w:pPr>
          </w:p>
        </w:tc>
        <w:tc>
          <w:tcPr>
            <w:tcW w:w="1701" w:type="dxa"/>
            <w:shd w:val="clear" w:color="auto" w:fill="auto"/>
          </w:tcPr>
          <w:p w14:paraId="59F6899B" w14:textId="77777777" w:rsidR="006E21F5" w:rsidRPr="009D756F" w:rsidRDefault="006E21F5" w:rsidP="006E21F5">
            <w:pPr>
              <w:spacing w:after="240"/>
              <w:jc w:val="center"/>
              <w:rPr>
                <w:b/>
              </w:rPr>
            </w:pPr>
          </w:p>
        </w:tc>
        <w:tc>
          <w:tcPr>
            <w:tcW w:w="4012" w:type="dxa"/>
            <w:shd w:val="clear" w:color="auto" w:fill="auto"/>
          </w:tcPr>
          <w:p w14:paraId="0352758D" w14:textId="77777777" w:rsidR="006E21F5" w:rsidRPr="009D756F" w:rsidRDefault="006E21F5" w:rsidP="00B273C6">
            <w:pPr>
              <w:spacing w:after="240"/>
              <w:jc w:val="center"/>
              <w:rPr>
                <w:b/>
              </w:rPr>
            </w:pPr>
          </w:p>
        </w:tc>
      </w:tr>
      <w:tr w:rsidR="006E21F5" w:rsidRPr="006E21F5" w14:paraId="16816688" w14:textId="77777777" w:rsidTr="006E21F5">
        <w:tc>
          <w:tcPr>
            <w:tcW w:w="4095" w:type="dxa"/>
            <w:shd w:val="clear" w:color="auto" w:fill="auto"/>
          </w:tcPr>
          <w:p w14:paraId="32B55B8E" w14:textId="77777777" w:rsidR="006E21F5" w:rsidRPr="009D756F" w:rsidRDefault="006E21F5" w:rsidP="006E21F5">
            <w:pPr>
              <w:spacing w:after="240"/>
              <w:jc w:val="center"/>
              <w:rPr>
                <w:b/>
              </w:rPr>
            </w:pPr>
            <w:r w:rsidRPr="009D756F">
              <w:rPr>
                <w:b/>
              </w:rPr>
              <w:t>MINISTRUL FINANŢELOR PUBLICE</w:t>
            </w:r>
          </w:p>
          <w:p w14:paraId="27A1D5A2" w14:textId="7286130D" w:rsidR="006E21F5" w:rsidRPr="009D756F" w:rsidRDefault="006E21F5" w:rsidP="006E21F5">
            <w:pPr>
              <w:spacing w:after="240"/>
              <w:jc w:val="center"/>
              <w:rPr>
                <w:b/>
              </w:rPr>
            </w:pPr>
            <w:r w:rsidRPr="009D756F">
              <w:rPr>
                <w:b/>
              </w:rPr>
              <w:t>Vasile-Florin CÎŢU</w:t>
            </w:r>
          </w:p>
        </w:tc>
        <w:tc>
          <w:tcPr>
            <w:tcW w:w="1701" w:type="dxa"/>
            <w:shd w:val="clear" w:color="auto" w:fill="auto"/>
          </w:tcPr>
          <w:p w14:paraId="068D710F" w14:textId="77777777" w:rsidR="006E21F5" w:rsidRPr="009D756F" w:rsidRDefault="006E21F5" w:rsidP="006E21F5">
            <w:pPr>
              <w:spacing w:after="240"/>
              <w:jc w:val="center"/>
              <w:rPr>
                <w:b/>
              </w:rPr>
            </w:pPr>
          </w:p>
        </w:tc>
        <w:tc>
          <w:tcPr>
            <w:tcW w:w="4012" w:type="dxa"/>
            <w:shd w:val="clear" w:color="auto" w:fill="auto"/>
          </w:tcPr>
          <w:p w14:paraId="4E338B84" w14:textId="77777777" w:rsidR="00C4581E" w:rsidRPr="00C4581E" w:rsidRDefault="00C4581E" w:rsidP="00C4581E">
            <w:pPr>
              <w:spacing w:after="240"/>
              <w:jc w:val="center"/>
              <w:rPr>
                <w:b/>
              </w:rPr>
            </w:pPr>
            <w:r w:rsidRPr="00C4581E">
              <w:rPr>
                <w:b/>
              </w:rPr>
              <w:t>MINISTRUL AFACERILOR EXTERNE</w:t>
            </w:r>
          </w:p>
          <w:p w14:paraId="16CA6B8A" w14:textId="71C4C683" w:rsidR="00810F43" w:rsidRDefault="00C4581E" w:rsidP="00C4581E">
            <w:pPr>
              <w:spacing w:after="240"/>
              <w:jc w:val="center"/>
              <w:rPr>
                <w:b/>
              </w:rPr>
            </w:pPr>
            <w:r w:rsidRPr="00C4581E">
              <w:rPr>
                <w:b/>
              </w:rPr>
              <w:t>Bogdan Lucian AURESCU</w:t>
            </w:r>
          </w:p>
          <w:p w14:paraId="50318328" w14:textId="77777777" w:rsidR="006E21F5" w:rsidRPr="009D756F" w:rsidRDefault="006E21F5" w:rsidP="00A2306A">
            <w:pPr>
              <w:spacing w:after="240"/>
              <w:rPr>
                <w:b/>
              </w:rPr>
            </w:pPr>
          </w:p>
        </w:tc>
      </w:tr>
      <w:tr w:rsidR="006E21F5" w:rsidRPr="006E21F5" w14:paraId="2C352088" w14:textId="77777777" w:rsidTr="006E21F5">
        <w:tc>
          <w:tcPr>
            <w:tcW w:w="9808" w:type="dxa"/>
            <w:gridSpan w:val="3"/>
            <w:shd w:val="clear" w:color="auto" w:fill="auto"/>
          </w:tcPr>
          <w:p w14:paraId="10716F11" w14:textId="77777777" w:rsidR="006E21F5" w:rsidRPr="009D756F" w:rsidRDefault="006E21F5" w:rsidP="006E21F5">
            <w:pPr>
              <w:spacing w:after="240"/>
              <w:jc w:val="center"/>
              <w:rPr>
                <w:b/>
              </w:rPr>
            </w:pPr>
            <w:r w:rsidRPr="009D756F">
              <w:rPr>
                <w:b/>
              </w:rPr>
              <w:t>MINISTRUL JUSTIŢIEI</w:t>
            </w:r>
          </w:p>
          <w:p w14:paraId="6ABE93B3" w14:textId="77777777" w:rsidR="006E21F5" w:rsidRPr="009D756F" w:rsidRDefault="006E21F5" w:rsidP="006E21F5">
            <w:pPr>
              <w:spacing w:after="240"/>
              <w:jc w:val="center"/>
              <w:rPr>
                <w:b/>
              </w:rPr>
            </w:pPr>
            <w:r w:rsidRPr="009D756F">
              <w:rPr>
                <w:b/>
              </w:rPr>
              <w:t>Marian Cătălin PREDOIU</w:t>
            </w:r>
          </w:p>
        </w:tc>
      </w:tr>
    </w:tbl>
    <w:p w14:paraId="7A89496D" w14:textId="6A7B449B" w:rsidR="001F733F" w:rsidRPr="00B53D70" w:rsidRDefault="001F733F" w:rsidP="00E20EAD">
      <w:pPr>
        <w:rPr>
          <w:b/>
          <w:sz w:val="2"/>
          <w:szCs w:val="2"/>
          <w14:shadow w14:blurRad="50800" w14:dist="38100" w14:dir="2700000" w14:sx="100000" w14:sy="100000" w14:kx="0" w14:ky="0" w14:algn="tl">
            <w14:srgbClr w14:val="000000">
              <w14:alpha w14:val="60000"/>
            </w14:srgbClr>
          </w14:shadow>
        </w:rPr>
      </w:pPr>
    </w:p>
    <w:sectPr w:rsidR="001F733F" w:rsidRPr="00B53D70" w:rsidSect="00565752">
      <w:footerReference w:type="even" r:id="rId9"/>
      <w:footerReference w:type="default" r:id="rId10"/>
      <w:pgSz w:w="12240" w:h="15840"/>
      <w:pgMar w:top="73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06CEA" w14:textId="77777777" w:rsidR="009658F5" w:rsidRDefault="009658F5">
      <w:r>
        <w:separator/>
      </w:r>
    </w:p>
  </w:endnote>
  <w:endnote w:type="continuationSeparator" w:id="0">
    <w:p w14:paraId="1452BBD8" w14:textId="77777777" w:rsidR="009658F5" w:rsidRDefault="0096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9658F5" w:rsidP="001C58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53F21" w14:textId="589538B4" w:rsidR="00BA47F0" w:rsidRDefault="00BA47F0">
    <w:pPr>
      <w:pStyle w:val="Footer"/>
      <w:jc w:val="right"/>
    </w:pPr>
  </w:p>
  <w:p w14:paraId="0C442F9A" w14:textId="77777777" w:rsidR="00EA23CB" w:rsidRDefault="009658F5" w:rsidP="001C58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BE08D" w14:textId="77777777" w:rsidR="009658F5" w:rsidRDefault="009658F5">
      <w:r>
        <w:separator/>
      </w:r>
    </w:p>
  </w:footnote>
  <w:footnote w:type="continuationSeparator" w:id="0">
    <w:p w14:paraId="2ECEC943" w14:textId="77777777" w:rsidR="009658F5" w:rsidRDefault="009658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019B6"/>
    <w:rsid w:val="00002AAB"/>
    <w:rsid w:val="00013621"/>
    <w:rsid w:val="00014DA1"/>
    <w:rsid w:val="000155D5"/>
    <w:rsid w:val="00017D04"/>
    <w:rsid w:val="00022594"/>
    <w:rsid w:val="00024EB9"/>
    <w:rsid w:val="00025015"/>
    <w:rsid w:val="00026B13"/>
    <w:rsid w:val="000369CD"/>
    <w:rsid w:val="00040B7B"/>
    <w:rsid w:val="0004452D"/>
    <w:rsid w:val="000572B2"/>
    <w:rsid w:val="00057629"/>
    <w:rsid w:val="00064A6B"/>
    <w:rsid w:val="00073195"/>
    <w:rsid w:val="000733D3"/>
    <w:rsid w:val="0007609F"/>
    <w:rsid w:val="00081475"/>
    <w:rsid w:val="00083DB6"/>
    <w:rsid w:val="0008401E"/>
    <w:rsid w:val="00085904"/>
    <w:rsid w:val="000859A9"/>
    <w:rsid w:val="00086329"/>
    <w:rsid w:val="00087383"/>
    <w:rsid w:val="0009275B"/>
    <w:rsid w:val="00094150"/>
    <w:rsid w:val="00094481"/>
    <w:rsid w:val="000A06E8"/>
    <w:rsid w:val="000A6298"/>
    <w:rsid w:val="000A71F1"/>
    <w:rsid w:val="000B7064"/>
    <w:rsid w:val="000C3494"/>
    <w:rsid w:val="000C6A8C"/>
    <w:rsid w:val="000C7EAF"/>
    <w:rsid w:val="000D4C09"/>
    <w:rsid w:val="000E28A3"/>
    <w:rsid w:val="000F0940"/>
    <w:rsid w:val="000F40EF"/>
    <w:rsid w:val="00100BE3"/>
    <w:rsid w:val="00101A9B"/>
    <w:rsid w:val="0010482B"/>
    <w:rsid w:val="00105808"/>
    <w:rsid w:val="00107736"/>
    <w:rsid w:val="00107E28"/>
    <w:rsid w:val="00112E9E"/>
    <w:rsid w:val="00121CCC"/>
    <w:rsid w:val="00124C5F"/>
    <w:rsid w:val="00126BBF"/>
    <w:rsid w:val="001306E8"/>
    <w:rsid w:val="00130F05"/>
    <w:rsid w:val="00131281"/>
    <w:rsid w:val="00133A3B"/>
    <w:rsid w:val="001358E8"/>
    <w:rsid w:val="001459BC"/>
    <w:rsid w:val="00152085"/>
    <w:rsid w:val="0015446A"/>
    <w:rsid w:val="0015762E"/>
    <w:rsid w:val="00161A61"/>
    <w:rsid w:val="00164FF3"/>
    <w:rsid w:val="00165A07"/>
    <w:rsid w:val="00175722"/>
    <w:rsid w:val="0017630C"/>
    <w:rsid w:val="001919CC"/>
    <w:rsid w:val="00194EBE"/>
    <w:rsid w:val="0019532E"/>
    <w:rsid w:val="001A285A"/>
    <w:rsid w:val="001A374F"/>
    <w:rsid w:val="001A4420"/>
    <w:rsid w:val="001A78A0"/>
    <w:rsid w:val="001B23D0"/>
    <w:rsid w:val="001B3B27"/>
    <w:rsid w:val="001B6DD8"/>
    <w:rsid w:val="001B7961"/>
    <w:rsid w:val="001C63B8"/>
    <w:rsid w:val="001C6ACC"/>
    <w:rsid w:val="001C7510"/>
    <w:rsid w:val="001D08F0"/>
    <w:rsid w:val="001E058E"/>
    <w:rsid w:val="001F0082"/>
    <w:rsid w:val="001F14A2"/>
    <w:rsid w:val="001F700D"/>
    <w:rsid w:val="001F733F"/>
    <w:rsid w:val="00204693"/>
    <w:rsid w:val="002050EA"/>
    <w:rsid w:val="00206EC6"/>
    <w:rsid w:val="002071FE"/>
    <w:rsid w:val="00213BDB"/>
    <w:rsid w:val="00221987"/>
    <w:rsid w:val="00225653"/>
    <w:rsid w:val="002260C6"/>
    <w:rsid w:val="00230437"/>
    <w:rsid w:val="00230FFA"/>
    <w:rsid w:val="00232ED4"/>
    <w:rsid w:val="00233D49"/>
    <w:rsid w:val="00244CF8"/>
    <w:rsid w:val="00247BC8"/>
    <w:rsid w:val="0025682E"/>
    <w:rsid w:val="00275947"/>
    <w:rsid w:val="0027750A"/>
    <w:rsid w:val="00280BAF"/>
    <w:rsid w:val="00283006"/>
    <w:rsid w:val="00286173"/>
    <w:rsid w:val="00286DEC"/>
    <w:rsid w:val="002912EC"/>
    <w:rsid w:val="002A7775"/>
    <w:rsid w:val="002B2155"/>
    <w:rsid w:val="002B583C"/>
    <w:rsid w:val="002B689E"/>
    <w:rsid w:val="002B7888"/>
    <w:rsid w:val="002C0B84"/>
    <w:rsid w:val="002C349A"/>
    <w:rsid w:val="002C5396"/>
    <w:rsid w:val="002C6EEE"/>
    <w:rsid w:val="002D2048"/>
    <w:rsid w:val="002D519D"/>
    <w:rsid w:val="002E22BC"/>
    <w:rsid w:val="002E3AFC"/>
    <w:rsid w:val="002E6018"/>
    <w:rsid w:val="002E7E37"/>
    <w:rsid w:val="002F01BF"/>
    <w:rsid w:val="002F2645"/>
    <w:rsid w:val="00302D6F"/>
    <w:rsid w:val="00305061"/>
    <w:rsid w:val="00306119"/>
    <w:rsid w:val="00312D14"/>
    <w:rsid w:val="003179ED"/>
    <w:rsid w:val="00320937"/>
    <w:rsid w:val="00322480"/>
    <w:rsid w:val="00332715"/>
    <w:rsid w:val="00332FEB"/>
    <w:rsid w:val="003456BD"/>
    <w:rsid w:val="003461A4"/>
    <w:rsid w:val="0034740A"/>
    <w:rsid w:val="00353F0D"/>
    <w:rsid w:val="00355C12"/>
    <w:rsid w:val="003569BD"/>
    <w:rsid w:val="003605E7"/>
    <w:rsid w:val="0037559F"/>
    <w:rsid w:val="0038297B"/>
    <w:rsid w:val="00390E31"/>
    <w:rsid w:val="00391E9D"/>
    <w:rsid w:val="003926BD"/>
    <w:rsid w:val="00396A04"/>
    <w:rsid w:val="003A09E2"/>
    <w:rsid w:val="003A7B22"/>
    <w:rsid w:val="003B02B3"/>
    <w:rsid w:val="003B3A2C"/>
    <w:rsid w:val="003B424D"/>
    <w:rsid w:val="003B7EB8"/>
    <w:rsid w:val="003C3121"/>
    <w:rsid w:val="003D6235"/>
    <w:rsid w:val="003E2D20"/>
    <w:rsid w:val="003F046A"/>
    <w:rsid w:val="003F1E05"/>
    <w:rsid w:val="003F374D"/>
    <w:rsid w:val="003F5CF6"/>
    <w:rsid w:val="0040003B"/>
    <w:rsid w:val="00402B32"/>
    <w:rsid w:val="0041039C"/>
    <w:rsid w:val="00416BC7"/>
    <w:rsid w:val="0042197D"/>
    <w:rsid w:val="004248D9"/>
    <w:rsid w:val="00425D30"/>
    <w:rsid w:val="00433DE3"/>
    <w:rsid w:val="004362A6"/>
    <w:rsid w:val="00440136"/>
    <w:rsid w:val="004449A8"/>
    <w:rsid w:val="00444B85"/>
    <w:rsid w:val="00445A50"/>
    <w:rsid w:val="00454D72"/>
    <w:rsid w:val="00457628"/>
    <w:rsid w:val="00461DC3"/>
    <w:rsid w:val="00473DA2"/>
    <w:rsid w:val="00475C30"/>
    <w:rsid w:val="0047738F"/>
    <w:rsid w:val="004806BE"/>
    <w:rsid w:val="00484392"/>
    <w:rsid w:val="004926A2"/>
    <w:rsid w:val="00493464"/>
    <w:rsid w:val="004A2289"/>
    <w:rsid w:val="004A26E1"/>
    <w:rsid w:val="004A39EE"/>
    <w:rsid w:val="004A6FCC"/>
    <w:rsid w:val="004B13DF"/>
    <w:rsid w:val="004B1ABD"/>
    <w:rsid w:val="004B3EFB"/>
    <w:rsid w:val="004B5346"/>
    <w:rsid w:val="004C07F9"/>
    <w:rsid w:val="004C103A"/>
    <w:rsid w:val="004D279E"/>
    <w:rsid w:val="004D5BA3"/>
    <w:rsid w:val="004D6ABC"/>
    <w:rsid w:val="004E40FD"/>
    <w:rsid w:val="004E6523"/>
    <w:rsid w:val="004E789F"/>
    <w:rsid w:val="004F0E4B"/>
    <w:rsid w:val="004F4D2E"/>
    <w:rsid w:val="004F551E"/>
    <w:rsid w:val="00505AF3"/>
    <w:rsid w:val="00520345"/>
    <w:rsid w:val="00527866"/>
    <w:rsid w:val="00530AC8"/>
    <w:rsid w:val="0053145E"/>
    <w:rsid w:val="00533E19"/>
    <w:rsid w:val="00540858"/>
    <w:rsid w:val="00542411"/>
    <w:rsid w:val="00555A11"/>
    <w:rsid w:val="0056245E"/>
    <w:rsid w:val="00562652"/>
    <w:rsid w:val="005649C0"/>
    <w:rsid w:val="00565752"/>
    <w:rsid w:val="00566EBF"/>
    <w:rsid w:val="00571569"/>
    <w:rsid w:val="00572583"/>
    <w:rsid w:val="00575BCE"/>
    <w:rsid w:val="0057730A"/>
    <w:rsid w:val="00577623"/>
    <w:rsid w:val="0058393A"/>
    <w:rsid w:val="005A0464"/>
    <w:rsid w:val="005A1D6C"/>
    <w:rsid w:val="005A2F37"/>
    <w:rsid w:val="005A3B3C"/>
    <w:rsid w:val="005A47ED"/>
    <w:rsid w:val="005A5A3E"/>
    <w:rsid w:val="005B02AB"/>
    <w:rsid w:val="005B31F7"/>
    <w:rsid w:val="005B58FF"/>
    <w:rsid w:val="005C1B9B"/>
    <w:rsid w:val="005C2F53"/>
    <w:rsid w:val="005C637F"/>
    <w:rsid w:val="005D05C7"/>
    <w:rsid w:val="005D33F6"/>
    <w:rsid w:val="005D4EE3"/>
    <w:rsid w:val="005D4F6E"/>
    <w:rsid w:val="005E662E"/>
    <w:rsid w:val="005E6BD7"/>
    <w:rsid w:val="005F27A0"/>
    <w:rsid w:val="00601913"/>
    <w:rsid w:val="0060196A"/>
    <w:rsid w:val="0060421A"/>
    <w:rsid w:val="00607DD9"/>
    <w:rsid w:val="00611644"/>
    <w:rsid w:val="00622C92"/>
    <w:rsid w:val="006243A3"/>
    <w:rsid w:val="006259CC"/>
    <w:rsid w:val="00634816"/>
    <w:rsid w:val="00634CC1"/>
    <w:rsid w:val="00635D33"/>
    <w:rsid w:val="0063691F"/>
    <w:rsid w:val="0063758C"/>
    <w:rsid w:val="00643A3D"/>
    <w:rsid w:val="00643C12"/>
    <w:rsid w:val="006449AD"/>
    <w:rsid w:val="006467F1"/>
    <w:rsid w:val="00652918"/>
    <w:rsid w:val="00652E1B"/>
    <w:rsid w:val="00653F32"/>
    <w:rsid w:val="006600DC"/>
    <w:rsid w:val="00660605"/>
    <w:rsid w:val="006610B5"/>
    <w:rsid w:val="006622B7"/>
    <w:rsid w:val="00662E0D"/>
    <w:rsid w:val="0066383C"/>
    <w:rsid w:val="0066428B"/>
    <w:rsid w:val="00666E12"/>
    <w:rsid w:val="006678B1"/>
    <w:rsid w:val="00670C79"/>
    <w:rsid w:val="00670DA7"/>
    <w:rsid w:val="0067373F"/>
    <w:rsid w:val="006737CE"/>
    <w:rsid w:val="00677B92"/>
    <w:rsid w:val="0068241E"/>
    <w:rsid w:val="00692099"/>
    <w:rsid w:val="00696435"/>
    <w:rsid w:val="006B075E"/>
    <w:rsid w:val="006B0F3D"/>
    <w:rsid w:val="006C3986"/>
    <w:rsid w:val="006C63AE"/>
    <w:rsid w:val="006C63C2"/>
    <w:rsid w:val="006C711B"/>
    <w:rsid w:val="006D37D0"/>
    <w:rsid w:val="006E0401"/>
    <w:rsid w:val="006E21F5"/>
    <w:rsid w:val="006E2CE3"/>
    <w:rsid w:val="006E2ED7"/>
    <w:rsid w:val="006E4FBF"/>
    <w:rsid w:val="006F350D"/>
    <w:rsid w:val="006F72EC"/>
    <w:rsid w:val="00705F15"/>
    <w:rsid w:val="00706549"/>
    <w:rsid w:val="00707949"/>
    <w:rsid w:val="00710CFA"/>
    <w:rsid w:val="007118D7"/>
    <w:rsid w:val="00713515"/>
    <w:rsid w:val="00720217"/>
    <w:rsid w:val="00723AC4"/>
    <w:rsid w:val="00723BA7"/>
    <w:rsid w:val="007263F0"/>
    <w:rsid w:val="00726D70"/>
    <w:rsid w:val="00735154"/>
    <w:rsid w:val="00741AA7"/>
    <w:rsid w:val="00752FD8"/>
    <w:rsid w:val="00756360"/>
    <w:rsid w:val="00763CC1"/>
    <w:rsid w:val="007644B8"/>
    <w:rsid w:val="007678A9"/>
    <w:rsid w:val="007722CF"/>
    <w:rsid w:val="00772A2B"/>
    <w:rsid w:val="00781752"/>
    <w:rsid w:val="00784848"/>
    <w:rsid w:val="00784A78"/>
    <w:rsid w:val="00786699"/>
    <w:rsid w:val="00787CC4"/>
    <w:rsid w:val="00793B14"/>
    <w:rsid w:val="007A3B32"/>
    <w:rsid w:val="007A4087"/>
    <w:rsid w:val="007A5914"/>
    <w:rsid w:val="007B37F8"/>
    <w:rsid w:val="007B42AC"/>
    <w:rsid w:val="007D5B0F"/>
    <w:rsid w:val="007D6BE6"/>
    <w:rsid w:val="007E2F46"/>
    <w:rsid w:val="007E3662"/>
    <w:rsid w:val="007E6D8E"/>
    <w:rsid w:val="007F14F5"/>
    <w:rsid w:val="00801688"/>
    <w:rsid w:val="00803A6B"/>
    <w:rsid w:val="00810F43"/>
    <w:rsid w:val="00812F1A"/>
    <w:rsid w:val="00814DE2"/>
    <w:rsid w:val="00820027"/>
    <w:rsid w:val="00820C27"/>
    <w:rsid w:val="00821E21"/>
    <w:rsid w:val="00823B92"/>
    <w:rsid w:val="00833F5C"/>
    <w:rsid w:val="0083426D"/>
    <w:rsid w:val="00834D8E"/>
    <w:rsid w:val="0083793B"/>
    <w:rsid w:val="008438F3"/>
    <w:rsid w:val="00843E24"/>
    <w:rsid w:val="0084634B"/>
    <w:rsid w:val="00847EA6"/>
    <w:rsid w:val="0085504A"/>
    <w:rsid w:val="00857F6E"/>
    <w:rsid w:val="008619CE"/>
    <w:rsid w:val="008705E3"/>
    <w:rsid w:val="0087248D"/>
    <w:rsid w:val="00873608"/>
    <w:rsid w:val="00873E3D"/>
    <w:rsid w:val="008752C0"/>
    <w:rsid w:val="0089074E"/>
    <w:rsid w:val="008965DD"/>
    <w:rsid w:val="008A1CD6"/>
    <w:rsid w:val="008A24F9"/>
    <w:rsid w:val="008A2707"/>
    <w:rsid w:val="008A3EC9"/>
    <w:rsid w:val="008A45B5"/>
    <w:rsid w:val="008A4B30"/>
    <w:rsid w:val="008A5164"/>
    <w:rsid w:val="008B2AA3"/>
    <w:rsid w:val="008B33C1"/>
    <w:rsid w:val="008B707D"/>
    <w:rsid w:val="008C17B0"/>
    <w:rsid w:val="008C2535"/>
    <w:rsid w:val="008C2BF8"/>
    <w:rsid w:val="008C6322"/>
    <w:rsid w:val="008C7047"/>
    <w:rsid w:val="008D050C"/>
    <w:rsid w:val="008D498E"/>
    <w:rsid w:val="008D4E90"/>
    <w:rsid w:val="008E14AF"/>
    <w:rsid w:val="008E3D03"/>
    <w:rsid w:val="008E43D1"/>
    <w:rsid w:val="008E64CB"/>
    <w:rsid w:val="008F32CD"/>
    <w:rsid w:val="008F35A0"/>
    <w:rsid w:val="008F41E3"/>
    <w:rsid w:val="009064F7"/>
    <w:rsid w:val="009079AE"/>
    <w:rsid w:val="00907A95"/>
    <w:rsid w:val="00907AEA"/>
    <w:rsid w:val="00911BC0"/>
    <w:rsid w:val="00916B41"/>
    <w:rsid w:val="00923B3E"/>
    <w:rsid w:val="009254B4"/>
    <w:rsid w:val="009276B0"/>
    <w:rsid w:val="0093137F"/>
    <w:rsid w:val="00931AF0"/>
    <w:rsid w:val="00935C77"/>
    <w:rsid w:val="009377E2"/>
    <w:rsid w:val="00941C10"/>
    <w:rsid w:val="00947EA6"/>
    <w:rsid w:val="00953180"/>
    <w:rsid w:val="00954311"/>
    <w:rsid w:val="009658F5"/>
    <w:rsid w:val="0096680B"/>
    <w:rsid w:val="00966D02"/>
    <w:rsid w:val="009678EA"/>
    <w:rsid w:val="00972192"/>
    <w:rsid w:val="00975D7D"/>
    <w:rsid w:val="009817E8"/>
    <w:rsid w:val="00982B95"/>
    <w:rsid w:val="0099350E"/>
    <w:rsid w:val="009945DB"/>
    <w:rsid w:val="00995DC4"/>
    <w:rsid w:val="00996E8E"/>
    <w:rsid w:val="009B71DC"/>
    <w:rsid w:val="009B774B"/>
    <w:rsid w:val="009C238D"/>
    <w:rsid w:val="009C25D9"/>
    <w:rsid w:val="009C5EAE"/>
    <w:rsid w:val="009D4DAF"/>
    <w:rsid w:val="009D756F"/>
    <w:rsid w:val="009E29C9"/>
    <w:rsid w:val="009E5884"/>
    <w:rsid w:val="009E6591"/>
    <w:rsid w:val="009F327C"/>
    <w:rsid w:val="009F799C"/>
    <w:rsid w:val="00A062A9"/>
    <w:rsid w:val="00A20532"/>
    <w:rsid w:val="00A20814"/>
    <w:rsid w:val="00A2306A"/>
    <w:rsid w:val="00A24686"/>
    <w:rsid w:val="00A25BEE"/>
    <w:rsid w:val="00A2708A"/>
    <w:rsid w:val="00A33926"/>
    <w:rsid w:val="00A34796"/>
    <w:rsid w:val="00A35590"/>
    <w:rsid w:val="00A42D45"/>
    <w:rsid w:val="00A44D23"/>
    <w:rsid w:val="00A6258B"/>
    <w:rsid w:val="00A62D13"/>
    <w:rsid w:val="00A63839"/>
    <w:rsid w:val="00A6751F"/>
    <w:rsid w:val="00A749BF"/>
    <w:rsid w:val="00A74CC6"/>
    <w:rsid w:val="00A80E81"/>
    <w:rsid w:val="00A83729"/>
    <w:rsid w:val="00A86C09"/>
    <w:rsid w:val="00A87F4B"/>
    <w:rsid w:val="00A93216"/>
    <w:rsid w:val="00A93F34"/>
    <w:rsid w:val="00AA279E"/>
    <w:rsid w:val="00AA39E3"/>
    <w:rsid w:val="00AA3A92"/>
    <w:rsid w:val="00AB0189"/>
    <w:rsid w:val="00AB2920"/>
    <w:rsid w:val="00AC0BCA"/>
    <w:rsid w:val="00AC3642"/>
    <w:rsid w:val="00AC487E"/>
    <w:rsid w:val="00AC61AE"/>
    <w:rsid w:val="00AD4DD2"/>
    <w:rsid w:val="00AE1333"/>
    <w:rsid w:val="00AF581A"/>
    <w:rsid w:val="00AF79CB"/>
    <w:rsid w:val="00B01639"/>
    <w:rsid w:val="00B1770B"/>
    <w:rsid w:val="00B1787D"/>
    <w:rsid w:val="00B216CF"/>
    <w:rsid w:val="00B21946"/>
    <w:rsid w:val="00B22712"/>
    <w:rsid w:val="00B26661"/>
    <w:rsid w:val="00B273C6"/>
    <w:rsid w:val="00B30D09"/>
    <w:rsid w:val="00B35C1F"/>
    <w:rsid w:val="00B41EA1"/>
    <w:rsid w:val="00B505F9"/>
    <w:rsid w:val="00B53D70"/>
    <w:rsid w:val="00B6089A"/>
    <w:rsid w:val="00B651E4"/>
    <w:rsid w:val="00B66539"/>
    <w:rsid w:val="00B72ADC"/>
    <w:rsid w:val="00B8381B"/>
    <w:rsid w:val="00B9048A"/>
    <w:rsid w:val="00B9245A"/>
    <w:rsid w:val="00B93B50"/>
    <w:rsid w:val="00BA3DE4"/>
    <w:rsid w:val="00BA47F0"/>
    <w:rsid w:val="00BA4E0F"/>
    <w:rsid w:val="00BB2E04"/>
    <w:rsid w:val="00BB34E3"/>
    <w:rsid w:val="00BB5721"/>
    <w:rsid w:val="00BC3A11"/>
    <w:rsid w:val="00BD4914"/>
    <w:rsid w:val="00BD55B7"/>
    <w:rsid w:val="00BF0642"/>
    <w:rsid w:val="00BF29AC"/>
    <w:rsid w:val="00BF6EE5"/>
    <w:rsid w:val="00BF7325"/>
    <w:rsid w:val="00C005BC"/>
    <w:rsid w:val="00C01DF1"/>
    <w:rsid w:val="00C03284"/>
    <w:rsid w:val="00C06C42"/>
    <w:rsid w:val="00C10264"/>
    <w:rsid w:val="00C1070D"/>
    <w:rsid w:val="00C10B3B"/>
    <w:rsid w:val="00C11ECE"/>
    <w:rsid w:val="00C16B79"/>
    <w:rsid w:val="00C21893"/>
    <w:rsid w:val="00C224C0"/>
    <w:rsid w:val="00C249F4"/>
    <w:rsid w:val="00C31BB5"/>
    <w:rsid w:val="00C3308C"/>
    <w:rsid w:val="00C4581E"/>
    <w:rsid w:val="00C47F72"/>
    <w:rsid w:val="00C57FF1"/>
    <w:rsid w:val="00C60145"/>
    <w:rsid w:val="00C61A5A"/>
    <w:rsid w:val="00C62223"/>
    <w:rsid w:val="00C6395D"/>
    <w:rsid w:val="00C76128"/>
    <w:rsid w:val="00C8303E"/>
    <w:rsid w:val="00C83C7F"/>
    <w:rsid w:val="00C84EC9"/>
    <w:rsid w:val="00C85530"/>
    <w:rsid w:val="00C87826"/>
    <w:rsid w:val="00C9066A"/>
    <w:rsid w:val="00C90AE0"/>
    <w:rsid w:val="00CA560E"/>
    <w:rsid w:val="00CA67AA"/>
    <w:rsid w:val="00CB0C40"/>
    <w:rsid w:val="00CB6C17"/>
    <w:rsid w:val="00CB7304"/>
    <w:rsid w:val="00CB78C4"/>
    <w:rsid w:val="00CC1CB4"/>
    <w:rsid w:val="00CD2EA0"/>
    <w:rsid w:val="00CD60D4"/>
    <w:rsid w:val="00CD681E"/>
    <w:rsid w:val="00CE2716"/>
    <w:rsid w:val="00CE461E"/>
    <w:rsid w:val="00CE699E"/>
    <w:rsid w:val="00CE6BA0"/>
    <w:rsid w:val="00CE7B3A"/>
    <w:rsid w:val="00CF5CDF"/>
    <w:rsid w:val="00CF7D07"/>
    <w:rsid w:val="00CF7EE8"/>
    <w:rsid w:val="00D00E94"/>
    <w:rsid w:val="00D00F0B"/>
    <w:rsid w:val="00D03109"/>
    <w:rsid w:val="00D04219"/>
    <w:rsid w:val="00D100AF"/>
    <w:rsid w:val="00D17EE9"/>
    <w:rsid w:val="00D23493"/>
    <w:rsid w:val="00D24521"/>
    <w:rsid w:val="00D27C6F"/>
    <w:rsid w:val="00D429E6"/>
    <w:rsid w:val="00D43767"/>
    <w:rsid w:val="00D50397"/>
    <w:rsid w:val="00D52251"/>
    <w:rsid w:val="00D60512"/>
    <w:rsid w:val="00D63CCB"/>
    <w:rsid w:val="00D65E59"/>
    <w:rsid w:val="00D7055A"/>
    <w:rsid w:val="00D7465B"/>
    <w:rsid w:val="00D777EE"/>
    <w:rsid w:val="00D80D47"/>
    <w:rsid w:val="00D814FD"/>
    <w:rsid w:val="00D85F4A"/>
    <w:rsid w:val="00D903E2"/>
    <w:rsid w:val="00D90A13"/>
    <w:rsid w:val="00D93260"/>
    <w:rsid w:val="00D934F0"/>
    <w:rsid w:val="00D94754"/>
    <w:rsid w:val="00D94C5D"/>
    <w:rsid w:val="00DA3DF4"/>
    <w:rsid w:val="00DB02E7"/>
    <w:rsid w:val="00DB19FF"/>
    <w:rsid w:val="00DB2168"/>
    <w:rsid w:val="00DB3702"/>
    <w:rsid w:val="00DB456B"/>
    <w:rsid w:val="00DB65F6"/>
    <w:rsid w:val="00DB67FA"/>
    <w:rsid w:val="00DB6D2A"/>
    <w:rsid w:val="00DC2152"/>
    <w:rsid w:val="00DD0632"/>
    <w:rsid w:val="00DD31EE"/>
    <w:rsid w:val="00DE7345"/>
    <w:rsid w:val="00DF451F"/>
    <w:rsid w:val="00E000E2"/>
    <w:rsid w:val="00E020B4"/>
    <w:rsid w:val="00E07299"/>
    <w:rsid w:val="00E12162"/>
    <w:rsid w:val="00E17A0A"/>
    <w:rsid w:val="00E20EAD"/>
    <w:rsid w:val="00E21831"/>
    <w:rsid w:val="00E27D5F"/>
    <w:rsid w:val="00E32378"/>
    <w:rsid w:val="00E3431B"/>
    <w:rsid w:val="00E3770B"/>
    <w:rsid w:val="00E41838"/>
    <w:rsid w:val="00E44A2E"/>
    <w:rsid w:val="00E516CD"/>
    <w:rsid w:val="00E541DB"/>
    <w:rsid w:val="00E55CB7"/>
    <w:rsid w:val="00E57133"/>
    <w:rsid w:val="00E661DA"/>
    <w:rsid w:val="00E6795C"/>
    <w:rsid w:val="00E72D9D"/>
    <w:rsid w:val="00E760AA"/>
    <w:rsid w:val="00E8378E"/>
    <w:rsid w:val="00E963FB"/>
    <w:rsid w:val="00E975A8"/>
    <w:rsid w:val="00EA4C5B"/>
    <w:rsid w:val="00ED4506"/>
    <w:rsid w:val="00ED5D29"/>
    <w:rsid w:val="00EE46DE"/>
    <w:rsid w:val="00EF0CD0"/>
    <w:rsid w:val="00EF2A2C"/>
    <w:rsid w:val="00EF30E5"/>
    <w:rsid w:val="00EF5746"/>
    <w:rsid w:val="00EF587D"/>
    <w:rsid w:val="00EF5A80"/>
    <w:rsid w:val="00EF60A0"/>
    <w:rsid w:val="00F06D25"/>
    <w:rsid w:val="00F1512E"/>
    <w:rsid w:val="00F24146"/>
    <w:rsid w:val="00F24977"/>
    <w:rsid w:val="00F24B2C"/>
    <w:rsid w:val="00F26279"/>
    <w:rsid w:val="00F27C6C"/>
    <w:rsid w:val="00F33BDF"/>
    <w:rsid w:val="00F37A62"/>
    <w:rsid w:val="00F45A78"/>
    <w:rsid w:val="00F52D4D"/>
    <w:rsid w:val="00F52E60"/>
    <w:rsid w:val="00F618F1"/>
    <w:rsid w:val="00F6643C"/>
    <w:rsid w:val="00F73D39"/>
    <w:rsid w:val="00F7454F"/>
    <w:rsid w:val="00F8335E"/>
    <w:rsid w:val="00F83FFD"/>
    <w:rsid w:val="00FA062B"/>
    <w:rsid w:val="00FA1077"/>
    <w:rsid w:val="00FA47DC"/>
    <w:rsid w:val="00FA6179"/>
    <w:rsid w:val="00FB071A"/>
    <w:rsid w:val="00FB1A1C"/>
    <w:rsid w:val="00FB2692"/>
    <w:rsid w:val="00FB43FD"/>
    <w:rsid w:val="00FB5FAE"/>
    <w:rsid w:val="00FB676B"/>
    <w:rsid w:val="00FC4D6E"/>
    <w:rsid w:val="00FD0D95"/>
    <w:rsid w:val="00FD6CF0"/>
    <w:rsid w:val="00FD7CF9"/>
    <w:rsid w:val="00FE39A9"/>
    <w:rsid w:val="00FE7E73"/>
    <w:rsid w:val="00FF1D41"/>
    <w:rsid w:val="00FF3EBF"/>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B0"/>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paragraph" w:styleId="Revision">
    <w:name w:val="Revision"/>
    <w:hidden/>
    <w:uiPriority w:val="99"/>
    <w:semiHidden/>
    <w:rsid w:val="0038297B"/>
    <w:pPr>
      <w:spacing w:after="0" w:line="240" w:lineRule="auto"/>
    </w:pPr>
    <w:rPr>
      <w:rFonts w:ascii="Times New Roman" w:eastAsia="Times New Roman"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B0"/>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paragraph" w:styleId="Revision">
    <w:name w:val="Revision"/>
    <w:hidden/>
    <w:uiPriority w:val="99"/>
    <w:semiHidden/>
    <w:rsid w:val="0038297B"/>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3303F-14ED-413B-B36F-47502B0D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4179</Words>
  <Characters>24244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10</cp:revision>
  <cp:lastPrinted>2020-09-11T08:54:00Z</cp:lastPrinted>
  <dcterms:created xsi:type="dcterms:W3CDTF">2020-09-11T08:53:00Z</dcterms:created>
  <dcterms:modified xsi:type="dcterms:W3CDTF">2020-09-11T09:40:00Z</dcterms:modified>
</cp:coreProperties>
</file>